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946290A" w14:textId="77777777" w:rsidR="00BE54D8" w:rsidRPr="00296F44" w:rsidRDefault="00BE54D8" w:rsidP="004F3CE6">
      <w:pPr>
        <w:rPr>
          <w:noProof w:val="0"/>
        </w:rPr>
      </w:pPr>
    </w:p>
    <w:p w14:paraId="33A12599" w14:textId="77777777" w:rsidR="0016218E" w:rsidRPr="00296F44" w:rsidRDefault="00B87E08" w:rsidP="004F3CE6">
      <w:pPr>
        <w:rPr>
          <w:noProof w:val="0"/>
        </w:rPr>
      </w:pPr>
      <w:r w:rsidRPr="00296F44">
        <w:rPr>
          <w:noProof w:val="0"/>
        </w:rPr>
        <w:tab/>
      </w:r>
    </w:p>
    <w:p w14:paraId="482C2491" w14:textId="77777777" w:rsidR="00BE54D8" w:rsidRPr="00296F44" w:rsidRDefault="00BE54D8" w:rsidP="004F3CE6">
      <w:pPr>
        <w:rPr>
          <w:noProof w:val="0"/>
        </w:rPr>
      </w:pPr>
    </w:p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119"/>
      </w:tblGrid>
      <w:tr w:rsidR="00625F1A" w:rsidRPr="00296F44" w14:paraId="5E22E216" w14:textId="77777777" w:rsidTr="1DD9861F">
        <w:trPr>
          <w:cantSplit/>
          <w:trHeight w:hRule="exact" w:val="71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B2D" w14:textId="33642F52" w:rsidR="00625F1A" w:rsidRPr="00296F44" w:rsidRDefault="00625F1A" w:rsidP="006E6A94">
            <w:pPr>
              <w:pStyle w:val="Geenafstand"/>
              <w:rPr>
                <w:noProof w:val="0"/>
              </w:rPr>
            </w:pPr>
            <w:r w:rsidRPr="00296F44">
              <w:rPr>
                <w:i/>
                <w:noProof w:val="0"/>
              </w:rPr>
              <w:t xml:space="preserve"> </w:t>
            </w:r>
            <w:r w:rsidR="00E30011">
              <w:rPr>
                <w:noProof w:val="0"/>
              </w:rPr>
              <w:t>A</w:t>
            </w:r>
            <w:r w:rsidRPr="00296F44">
              <w:rPr>
                <w:noProof w:val="0"/>
              </w:rPr>
              <w:t xml:space="preserve">B-vergadering: </w:t>
            </w:r>
            <w:r w:rsidR="00E30011">
              <w:rPr>
                <w:noProof w:val="0"/>
              </w:rPr>
              <w:t>26-09</w:t>
            </w:r>
            <w:r w:rsidR="006F3D4B">
              <w:rPr>
                <w:noProof w:val="0"/>
              </w:rPr>
              <w:t>-2023</w:t>
            </w:r>
          </w:p>
          <w:p w14:paraId="33E4F8A5" w14:textId="77777777" w:rsidR="00625F1A" w:rsidRPr="00296F44" w:rsidRDefault="00625F1A" w:rsidP="00625F1A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FF9" w14:textId="77777777" w:rsidR="00625F1A" w:rsidRPr="00296F44" w:rsidRDefault="00625F1A" w:rsidP="004F3CE6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Agendapunt: </w:t>
            </w:r>
            <w:r w:rsidRPr="006F3D4B">
              <w:rPr>
                <w:noProof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F3D4B">
              <w:rPr>
                <w:noProof w:val="0"/>
              </w:rPr>
              <w:instrText xml:space="preserve"> FORMTEXT </w:instrText>
            </w:r>
            <w:r w:rsidRPr="006F3D4B">
              <w:rPr>
                <w:noProof w:val="0"/>
              </w:rPr>
            </w:r>
            <w:r w:rsidRPr="006F3D4B">
              <w:rPr>
                <w:noProof w:val="0"/>
              </w:rPr>
              <w:fldChar w:fldCharType="separate"/>
            </w:r>
            <w:r w:rsidRPr="006F3D4B">
              <w:rPr>
                <w:noProof w:val="0"/>
              </w:rPr>
              <w:t> </w:t>
            </w:r>
            <w:r w:rsidRPr="006F3D4B">
              <w:rPr>
                <w:noProof w:val="0"/>
              </w:rPr>
              <w:t> </w:t>
            </w:r>
            <w:r w:rsidRPr="006F3D4B">
              <w:rPr>
                <w:noProof w:val="0"/>
              </w:rPr>
              <w:t> </w:t>
            </w:r>
            <w:r w:rsidRPr="006F3D4B">
              <w:rPr>
                <w:noProof w:val="0"/>
              </w:rPr>
              <w:t> </w:t>
            </w:r>
            <w:r w:rsidRPr="006F3D4B">
              <w:rPr>
                <w:noProof w:val="0"/>
              </w:rPr>
              <w:t> </w:t>
            </w:r>
            <w:r w:rsidRPr="006F3D4B">
              <w:rPr>
                <w:noProof w:val="0"/>
              </w:rPr>
              <w:fldChar w:fldCharType="end"/>
            </w:r>
            <w:bookmarkEnd w:id="0"/>
          </w:p>
        </w:tc>
      </w:tr>
      <w:tr w:rsidR="00BE54D8" w:rsidRPr="00296F44" w14:paraId="1DA3219B" w14:textId="77777777" w:rsidTr="003E5F1B">
        <w:trPr>
          <w:cantSplit/>
          <w:trHeight w:hRule="exact" w:val="5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EEE" w14:textId="6455BE36" w:rsidR="00BE54D8" w:rsidRPr="00296F44" w:rsidRDefault="003401FF" w:rsidP="004F3CE6">
            <w:pPr>
              <w:pStyle w:val="Geenafstand"/>
              <w:rPr>
                <w:i/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="00E50DC6" w:rsidRPr="00296F44">
              <w:rPr>
                <w:noProof w:val="0"/>
              </w:rPr>
              <w:t xml:space="preserve">Onderwerp: </w:t>
            </w:r>
            <w:r w:rsidR="006F3D4B">
              <w:rPr>
                <w:noProof w:val="0"/>
              </w:rPr>
              <w:t>IBP VTH- Beoordeling robuustheid ODMH en nadere bespreking</w:t>
            </w:r>
          </w:p>
        </w:tc>
      </w:tr>
      <w:tr w:rsidR="00202C08" w:rsidRPr="00296F44" w14:paraId="3A325C1E" w14:textId="77777777" w:rsidTr="003E5F1B">
        <w:trPr>
          <w:cantSplit/>
          <w:trHeight w:hRule="exact" w:val="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012" w14:textId="54E8C923" w:rsidR="00202C08" w:rsidRPr="00296F44" w:rsidRDefault="00202C08" w:rsidP="003E5F1B">
            <w:pPr>
              <w:pStyle w:val="Koptekst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="003E5F1B">
              <w:rPr>
                <w:noProof w:val="0"/>
              </w:rPr>
              <w:br/>
            </w:r>
            <w:r w:rsidRPr="00296F44">
              <w:rPr>
                <w:noProof w:val="0"/>
              </w:rPr>
              <w:t xml:space="preserve"> Portefeuillehouder: </w:t>
            </w:r>
            <w:r w:rsidR="006F3D4B">
              <w:rPr>
                <w:noProof w:val="0"/>
              </w:rPr>
              <w:t>T. van Vugt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6BA" w14:textId="7D792FDE" w:rsidR="00202C08" w:rsidRPr="00296F44" w:rsidRDefault="00202C08" w:rsidP="003E5F1B">
            <w:pPr>
              <w:rPr>
                <w:noProof w:val="0"/>
              </w:rPr>
            </w:pPr>
            <w:r w:rsidRPr="00296F44">
              <w:rPr>
                <w:rFonts w:cs="Arial"/>
                <w:noProof w:val="0"/>
              </w:rPr>
              <w:t xml:space="preserve"> </w:t>
            </w:r>
            <w:r w:rsidR="003E5F1B">
              <w:rPr>
                <w:rFonts w:cs="Arial"/>
                <w:noProof w:val="0"/>
              </w:rPr>
              <w:br/>
            </w:r>
            <w:r w:rsidRPr="00296F44">
              <w:rPr>
                <w:noProof w:val="0"/>
              </w:rPr>
              <w:t xml:space="preserve"> Openbaar: </w:t>
            </w:r>
            <w:sdt>
              <w:sdtPr>
                <w:rPr>
                  <w:noProof w:val="0"/>
                </w:rPr>
                <w:id w:val="-143042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1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8429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1">
                  <w:rPr>
                    <w:rFonts w:ascii="MS Gothic" w:eastAsia="MS Gothic" w:hAnsi="MS Gothic" w:hint="eastAsia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nee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F9D" w14:textId="62D52B88" w:rsidR="00202C08" w:rsidRPr="00296F44" w:rsidRDefault="00202C08" w:rsidP="003E5F1B">
            <w:pPr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="003E5F1B">
              <w:rPr>
                <w:noProof w:val="0"/>
              </w:rPr>
              <w:br/>
            </w:r>
            <w:r w:rsidRPr="00296F44">
              <w:rPr>
                <w:noProof w:val="0"/>
              </w:rPr>
              <w:t xml:space="preserve"> Bijlage</w:t>
            </w:r>
            <w:r w:rsidR="00C92A9A">
              <w:rPr>
                <w:noProof w:val="0"/>
              </w:rPr>
              <w:t>(</w:t>
            </w:r>
            <w:r w:rsidRPr="00296F44">
              <w:rPr>
                <w:noProof w:val="0"/>
              </w:rPr>
              <w:t>n</w:t>
            </w:r>
            <w:r w:rsidR="00C92A9A">
              <w:rPr>
                <w:noProof w:val="0"/>
              </w:rPr>
              <w:t>)</w:t>
            </w:r>
            <w:r w:rsidRPr="00296F44">
              <w:rPr>
                <w:noProof w:val="0"/>
              </w:rPr>
              <w:t xml:space="preserve">: </w:t>
            </w:r>
            <w:r w:rsidR="00E30011">
              <w:rPr>
                <w:noProof w:val="0"/>
              </w:rPr>
              <w:t>3</w:t>
            </w:r>
          </w:p>
        </w:tc>
      </w:tr>
      <w:tr w:rsidR="00202C08" w:rsidRPr="00296F44" w14:paraId="571A5547" w14:textId="77777777" w:rsidTr="003E5F1B">
        <w:trPr>
          <w:cantSplit/>
          <w:trHeight w:val="550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C60" w14:textId="72FFB21E" w:rsidR="00B14999" w:rsidRDefault="0000373D" w:rsidP="00B14999">
            <w:pPr>
              <w:pStyle w:val="Geenafstand"/>
              <w:ind w:left="57" w:right="57"/>
              <w:rPr>
                <w:rFonts w:cs="Arial"/>
              </w:rPr>
            </w:pPr>
            <w:r>
              <w:rPr>
                <w:noProof w:val="0"/>
              </w:rPr>
              <w:t>S</w:t>
            </w:r>
            <w:r w:rsidR="00202C08" w:rsidRPr="00296F44">
              <w:rPr>
                <w:noProof w:val="0"/>
              </w:rPr>
              <w:t xml:space="preserve">amenvatting: </w:t>
            </w:r>
          </w:p>
          <w:p w14:paraId="5889264C" w14:textId="23B6D2B7" w:rsidR="00EC422B" w:rsidRDefault="00B14999" w:rsidP="003E5F1B">
            <w:pPr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Op 22 juni jl. heeft het Bestuurlijk Overleg IBP VTH de robuustheidscriteria omgevingsdiensten vastgesteld. Deze criteria zijn uitgewerkt in zes genormeerde kritische prestatie-indicatoren</w:t>
            </w:r>
            <w:r w:rsidR="003E5F1B">
              <w:rPr>
                <w:rFonts w:cs="Arial"/>
              </w:rPr>
              <w:t xml:space="preserve"> (KPI’s)</w:t>
            </w:r>
            <w:r>
              <w:rPr>
                <w:rFonts w:cs="Arial"/>
              </w:rPr>
              <w:t>.</w:t>
            </w:r>
            <w:r w:rsidR="006D0448">
              <w:rPr>
                <w:rFonts w:cs="Arial"/>
              </w:rPr>
              <w:t xml:space="preserve"> </w:t>
            </w:r>
            <w:r w:rsidR="00EC422B">
              <w:rPr>
                <w:rFonts w:cs="Arial"/>
              </w:rPr>
              <w:t xml:space="preserve">Ook is </w:t>
            </w:r>
            <w:r w:rsidR="006D0448">
              <w:rPr>
                <w:rFonts w:cs="Arial"/>
              </w:rPr>
              <w:t xml:space="preserve">bepaald dat uiterlijk 1 april 2026 alle omgevingsdiensten robuust moeten zijn door aan de zes KPI’s te voldoen. </w:t>
            </w:r>
            <w:r w:rsidR="0000373D">
              <w:rPr>
                <w:rFonts w:cs="Arial"/>
              </w:rPr>
              <w:t xml:space="preserve">Als </w:t>
            </w:r>
            <w:r w:rsidR="006D0448">
              <w:rPr>
                <w:rFonts w:cs="Arial"/>
              </w:rPr>
              <w:t xml:space="preserve">een </w:t>
            </w:r>
            <w:r w:rsidR="006D0448" w:rsidRPr="00EC422B">
              <w:rPr>
                <w:rFonts w:cs="Arial"/>
              </w:rPr>
              <w:t xml:space="preserve">omgevingsdienst niet robuust is, </w:t>
            </w:r>
            <w:r w:rsidR="0000373D" w:rsidRPr="00EC422B">
              <w:rPr>
                <w:rFonts w:cs="Arial"/>
              </w:rPr>
              <w:t xml:space="preserve">dan </w:t>
            </w:r>
            <w:r w:rsidR="00EC422B" w:rsidRPr="00EC422B">
              <w:rPr>
                <w:rFonts w:cs="Arial"/>
              </w:rPr>
              <w:t>wil</w:t>
            </w:r>
            <w:r w:rsidR="00EC422B">
              <w:rPr>
                <w:rFonts w:cs="Arial"/>
              </w:rPr>
              <w:t xml:space="preserve"> </w:t>
            </w:r>
            <w:r w:rsidR="0000373D">
              <w:rPr>
                <w:rFonts w:cs="Arial"/>
              </w:rPr>
              <w:t xml:space="preserve">de staatssecretaris </w:t>
            </w:r>
            <w:r w:rsidR="003E5F1B">
              <w:rPr>
                <w:rFonts w:cs="Arial"/>
              </w:rPr>
              <w:t xml:space="preserve">van I&amp;W </w:t>
            </w:r>
            <w:r w:rsidR="0000373D">
              <w:rPr>
                <w:rFonts w:cs="Arial"/>
              </w:rPr>
              <w:t xml:space="preserve">uiterlijk 1 april 2024 een door het bestuur </w:t>
            </w:r>
            <w:r w:rsidR="00A15790">
              <w:rPr>
                <w:rFonts w:cs="Arial"/>
              </w:rPr>
              <w:t xml:space="preserve">van ODMH </w:t>
            </w:r>
            <w:r w:rsidR="0000373D">
              <w:rPr>
                <w:rFonts w:cs="Arial"/>
              </w:rPr>
              <w:t xml:space="preserve">vastgesteld plan van aanpak </w:t>
            </w:r>
            <w:r w:rsidR="00EC422B">
              <w:rPr>
                <w:rFonts w:cs="Arial"/>
              </w:rPr>
              <w:t xml:space="preserve">ontvangen </w:t>
            </w:r>
            <w:r w:rsidR="0000373D">
              <w:rPr>
                <w:rFonts w:cs="Arial"/>
              </w:rPr>
              <w:t>waarin staat wat de o</w:t>
            </w:r>
            <w:r w:rsidR="00EC422B">
              <w:rPr>
                <w:rFonts w:cs="Arial"/>
              </w:rPr>
              <w:t xml:space="preserve">mgevingsdienst </w:t>
            </w:r>
            <w:r w:rsidR="0000373D">
              <w:rPr>
                <w:rFonts w:cs="Arial"/>
              </w:rPr>
              <w:t>gaat doen om te voldoen.</w:t>
            </w:r>
          </w:p>
          <w:p w14:paraId="60E09C4D" w14:textId="62EB0229" w:rsidR="00B14999" w:rsidRDefault="00EC422B" w:rsidP="003E5F1B">
            <w:pPr>
              <w:ind w:left="57" w:right="57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B14999">
              <w:rPr>
                <w:rFonts w:cs="Arial"/>
              </w:rPr>
              <w:t xml:space="preserve">In bijlage 1 zijn de robuustheidscriteria uitgewerkt voor de ODMH. ODMH </w:t>
            </w:r>
            <w:r w:rsidR="00A228E1">
              <w:rPr>
                <w:rFonts w:cs="Arial"/>
              </w:rPr>
              <w:t xml:space="preserve">voldoet </w:t>
            </w:r>
            <w:r w:rsidR="00B14999">
              <w:rPr>
                <w:rFonts w:cs="Arial"/>
              </w:rPr>
              <w:t xml:space="preserve">aan alle zes </w:t>
            </w:r>
            <w:r w:rsidR="003E5F1B">
              <w:rPr>
                <w:rFonts w:cs="Arial"/>
              </w:rPr>
              <w:t>KPI’s</w:t>
            </w:r>
            <w:r w:rsidR="00B14999">
              <w:rPr>
                <w:rFonts w:cs="Arial"/>
              </w:rPr>
              <w:t>:</w:t>
            </w:r>
          </w:p>
          <w:p w14:paraId="23D91848" w14:textId="77777777" w:rsidR="00B14999" w:rsidRPr="00370AAD" w:rsidRDefault="00B14999" w:rsidP="00B14999">
            <w:pPr>
              <w:pStyle w:val="Lijstalinea"/>
              <w:numPr>
                <w:ilvl w:val="0"/>
                <w:numId w:val="1"/>
              </w:numPr>
              <w:tabs>
                <w:tab w:val="left" w:pos="1701"/>
                <w:tab w:val="left" w:pos="4366"/>
              </w:tabs>
              <w:spacing w:after="120"/>
              <w:rPr>
                <w:rFonts w:cs="Arial"/>
              </w:rPr>
            </w:pPr>
            <w:r w:rsidRPr="00370AAD">
              <w:rPr>
                <w:rFonts w:cs="Arial"/>
              </w:rPr>
              <w:t>De omvan</w:t>
            </w:r>
            <w:r>
              <w:rPr>
                <w:rFonts w:cs="Arial"/>
              </w:rPr>
              <w:t xml:space="preserve">g </w:t>
            </w:r>
            <w:r w:rsidRPr="00370AAD">
              <w:rPr>
                <w:rFonts w:cs="Arial"/>
              </w:rPr>
              <w:t>van het regionaal werkprogramma is meer dan € 16,5 miljoen, waarbij 85% van de medewerkers in het primaire proces in dien</w:t>
            </w:r>
            <w:r>
              <w:rPr>
                <w:rFonts w:cs="Arial"/>
              </w:rPr>
              <w:t>st</w:t>
            </w:r>
            <w:r w:rsidRPr="00370AAD">
              <w:rPr>
                <w:rFonts w:cs="Arial"/>
              </w:rPr>
              <w:t xml:space="preserve"> is van de ODMH;</w:t>
            </w:r>
          </w:p>
          <w:p w14:paraId="5A85419F" w14:textId="77777777" w:rsidR="00B14999" w:rsidRDefault="00B14999" w:rsidP="00B14999">
            <w:pPr>
              <w:pStyle w:val="Lijstalinea"/>
              <w:numPr>
                <w:ilvl w:val="0"/>
                <w:numId w:val="1"/>
              </w:numPr>
              <w:tabs>
                <w:tab w:val="left" w:pos="1701"/>
                <w:tab w:val="left" w:pos="4366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 ODMH voldoet aan de geldende kwaliteitscriteria voor zowel de milieutaken als de plustaken;</w:t>
            </w:r>
          </w:p>
          <w:p w14:paraId="453344D5" w14:textId="77777777" w:rsidR="00B14999" w:rsidRDefault="00B14999" w:rsidP="00B14999">
            <w:pPr>
              <w:pStyle w:val="Lijstalinea"/>
              <w:numPr>
                <w:ilvl w:val="0"/>
                <w:numId w:val="1"/>
              </w:numPr>
              <w:tabs>
                <w:tab w:val="left" w:pos="1701"/>
                <w:tab w:val="left" w:pos="4366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 ODMH heeft voldoende aandacht, capaciteit en budget voor innovatie;</w:t>
            </w:r>
          </w:p>
          <w:p w14:paraId="5AE47193" w14:textId="77777777" w:rsidR="00B14999" w:rsidRDefault="00B14999" w:rsidP="00B14999">
            <w:pPr>
              <w:pStyle w:val="Lijstalinea"/>
              <w:numPr>
                <w:ilvl w:val="0"/>
                <w:numId w:val="1"/>
              </w:numPr>
              <w:tabs>
                <w:tab w:val="left" w:pos="1701"/>
                <w:tab w:val="left" w:pos="4366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 ODMH kan risico’s en veranderingen in de omvang van het overgedragen takenpakket opvangen;</w:t>
            </w:r>
          </w:p>
          <w:p w14:paraId="08E5F836" w14:textId="77777777" w:rsidR="00B14999" w:rsidRDefault="00B14999" w:rsidP="00B14999">
            <w:pPr>
              <w:pStyle w:val="Lijstalinea"/>
              <w:numPr>
                <w:ilvl w:val="0"/>
                <w:numId w:val="1"/>
              </w:numPr>
              <w:tabs>
                <w:tab w:val="left" w:pos="1701"/>
                <w:tab w:val="left" w:pos="4366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 ODMH kan relatie leggen tussen werk, mensen en geld. Er wordt informatie gestuurd gewerkt;</w:t>
            </w:r>
          </w:p>
          <w:p w14:paraId="796FE0FE" w14:textId="3D2F8A73" w:rsidR="00B14999" w:rsidRDefault="00B14999" w:rsidP="00B14999">
            <w:pPr>
              <w:pStyle w:val="Lijstalinea"/>
              <w:numPr>
                <w:ilvl w:val="0"/>
                <w:numId w:val="1"/>
              </w:numPr>
              <w:tabs>
                <w:tab w:val="left" w:pos="1701"/>
                <w:tab w:val="left" w:pos="4366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 ODMH past bij de identiteit van het werkgebied en er is sprake van samenhang in het werkpakket.</w:t>
            </w:r>
          </w:p>
          <w:p w14:paraId="05A647BA" w14:textId="4A15630C" w:rsidR="00EC422B" w:rsidRPr="003B37B4" w:rsidRDefault="00C70EDF" w:rsidP="003E5F1B">
            <w:pPr>
              <w:ind w:left="57" w:right="57"/>
              <w:rPr>
                <w:rFonts w:cs="Arial"/>
              </w:rPr>
            </w:pPr>
            <w:r w:rsidRPr="006D0448">
              <w:rPr>
                <w:rFonts w:cs="Arial"/>
              </w:rPr>
              <w:t>De uitkomst van de toetsing aan de criteria moet u</w:t>
            </w:r>
            <w:r w:rsidR="00EE4951" w:rsidRPr="006D0448">
              <w:rPr>
                <w:rFonts w:cs="Arial"/>
              </w:rPr>
              <w:t xml:space="preserve">iterlijk 1 oktober 2023 </w:t>
            </w:r>
            <w:r w:rsidRPr="006D0448">
              <w:rPr>
                <w:rFonts w:cs="Arial"/>
              </w:rPr>
              <w:t>aan</w:t>
            </w:r>
            <w:r>
              <w:rPr>
                <w:rFonts w:cs="Arial"/>
              </w:rPr>
              <w:t xml:space="preserve"> de </w:t>
            </w:r>
            <w:r w:rsidR="00EE4951">
              <w:rPr>
                <w:rFonts w:cs="Arial"/>
              </w:rPr>
              <w:t>staatssecretaris</w:t>
            </w:r>
            <w:r>
              <w:rPr>
                <w:rFonts w:cs="Arial"/>
              </w:rPr>
              <w:t xml:space="preserve"> worden gemeld. </w:t>
            </w:r>
          </w:p>
        </w:tc>
      </w:tr>
      <w:tr w:rsidR="00202C08" w:rsidRPr="00296F44" w14:paraId="352DCA1D" w14:textId="77777777" w:rsidTr="1DD9861F">
        <w:trPr>
          <w:cantSplit/>
          <w:trHeight w:val="8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32A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Financiële consequenties:</w:t>
            </w:r>
          </w:p>
          <w:p w14:paraId="31BCDB17" w14:textId="2FF0259C" w:rsidR="00202C08" w:rsidRPr="00296F44" w:rsidRDefault="00EC422B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geen</w:t>
            </w:r>
          </w:p>
        </w:tc>
      </w:tr>
      <w:tr w:rsidR="00202C08" w:rsidRPr="00296F44" w14:paraId="30C3B326" w14:textId="77777777" w:rsidTr="003E5F1B">
        <w:trPr>
          <w:cantSplit/>
          <w:trHeight w:hRule="exact" w:val="169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C53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Voorgestelde beslissing:</w:t>
            </w:r>
          </w:p>
          <w:p w14:paraId="50D25996" w14:textId="0DE69CBA" w:rsidR="00202C08" w:rsidRPr="00296F44" w:rsidRDefault="00A228E1" w:rsidP="003E5F1B">
            <w:pPr>
              <w:ind w:left="57" w:right="57"/>
              <w:rPr>
                <w:noProof w:val="0"/>
              </w:rPr>
            </w:pPr>
            <w:r>
              <w:rPr>
                <w:rFonts w:cs="Arial"/>
              </w:rPr>
              <w:t>Uitgaande van het bovenstaande kan het bestuur van de ODMH aan de staatssecretaris rapporte</w:t>
            </w:r>
            <w:r w:rsidR="00AB0CDA">
              <w:rPr>
                <w:rFonts w:cs="Arial"/>
              </w:rPr>
              <w:t>ren</w:t>
            </w:r>
            <w:r>
              <w:rPr>
                <w:rFonts w:cs="Arial"/>
              </w:rPr>
              <w:t xml:space="preserve"> dat de ODMH een robuuste organisatie is die aan alle benodigde criteria voldoet.</w:t>
            </w:r>
            <w:r w:rsidR="00EC422B">
              <w:rPr>
                <w:rFonts w:cs="Arial"/>
              </w:rPr>
              <w:t xml:space="preserve"> </w:t>
            </w:r>
            <w:r w:rsidR="003E5F1B">
              <w:rPr>
                <w:rFonts w:cs="Arial"/>
              </w:rPr>
              <w:t xml:space="preserve">En </w:t>
            </w:r>
            <w:r w:rsidR="00EC422B">
              <w:rPr>
                <w:rFonts w:cs="Arial"/>
              </w:rPr>
              <w:t xml:space="preserve">dat het bestuur van de ODMH </w:t>
            </w:r>
            <w:r w:rsidR="00C70EDF">
              <w:rPr>
                <w:rFonts w:cs="Arial"/>
              </w:rPr>
              <w:t>binnen randvoorwaarden wil bijdragen aan een robuust stelsel van o</w:t>
            </w:r>
            <w:r w:rsidR="00EC422B">
              <w:rPr>
                <w:rFonts w:cs="Arial"/>
              </w:rPr>
              <w:t>mgevingsdiensten</w:t>
            </w:r>
            <w:r w:rsidR="0086369B">
              <w:rPr>
                <w:rFonts w:cs="Arial"/>
              </w:rPr>
              <w:t xml:space="preserve"> in de regio.</w:t>
            </w:r>
            <w:r w:rsidR="003E5F1B">
              <w:rPr>
                <w:rFonts w:cs="Arial"/>
              </w:rPr>
              <w:br/>
            </w:r>
          </w:p>
        </w:tc>
      </w:tr>
      <w:tr w:rsidR="00202C08" w:rsidRPr="00296F44" w14:paraId="789A2FBE" w14:textId="77777777" w:rsidTr="003E5F1B">
        <w:trPr>
          <w:cantSplit/>
          <w:trHeight w:val="195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29C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Verdere procedure / Communicatie over besluit:</w:t>
            </w:r>
          </w:p>
          <w:p w14:paraId="42C09885" w14:textId="1FCEA040" w:rsidR="00F028C7" w:rsidRDefault="00070ECE" w:rsidP="00EC422B">
            <w:pPr>
              <w:ind w:left="57" w:right="57"/>
            </w:pPr>
            <w:r>
              <w:rPr>
                <w:noProof w:val="0"/>
              </w:rPr>
              <w:t xml:space="preserve">Na instemming </w:t>
            </w:r>
            <w:r w:rsidR="00775A5D">
              <w:rPr>
                <w:noProof w:val="0"/>
              </w:rPr>
              <w:t xml:space="preserve">in het AB stuurt ODMH </w:t>
            </w:r>
            <w:r w:rsidR="00CC340F">
              <w:t xml:space="preserve">uiterlijk 1 oktober 2023 de toetsing </w:t>
            </w:r>
            <w:r w:rsidR="00775A5D">
              <w:rPr>
                <w:noProof w:val="0"/>
              </w:rPr>
              <w:t xml:space="preserve">en de reactie van het AB </w:t>
            </w:r>
            <w:r w:rsidR="00E2126C">
              <w:rPr>
                <w:noProof w:val="0"/>
              </w:rPr>
              <w:t xml:space="preserve">ODMH naar de </w:t>
            </w:r>
            <w:r w:rsidR="003C2A16">
              <w:t>staatssecretaris van IenW</w:t>
            </w:r>
            <w:r w:rsidR="00A63F88">
              <w:t xml:space="preserve">, </w:t>
            </w:r>
            <w:r w:rsidR="00CC340F">
              <w:t>via</w:t>
            </w:r>
            <w:r w:rsidR="00A63F88">
              <w:t xml:space="preserve"> </w:t>
            </w:r>
            <w:hyperlink r:id="rId11" w:history="1">
              <w:r w:rsidR="00A63F88" w:rsidRPr="000B3028">
                <w:rPr>
                  <w:rStyle w:val="Hyperlink"/>
                </w:rPr>
                <w:t>postbusVTH@minienw.nl</w:t>
              </w:r>
            </w:hyperlink>
            <w:r w:rsidR="00A63F88">
              <w:t>.</w:t>
            </w:r>
          </w:p>
          <w:p w14:paraId="54E671C5" w14:textId="27A76716" w:rsidR="002B1471" w:rsidRDefault="002B1471" w:rsidP="00EC422B">
            <w:pPr>
              <w:ind w:left="57" w:right="57"/>
            </w:pPr>
          </w:p>
          <w:p w14:paraId="5C2A8CA2" w14:textId="7077DB56" w:rsidR="002B1471" w:rsidRPr="00296F44" w:rsidRDefault="002B1471" w:rsidP="00EC422B">
            <w:pPr>
              <w:ind w:left="57" w:right="57"/>
            </w:pPr>
            <w:r>
              <w:t>De AB leden worden verzocht dit onderwerp te bespreken in hun colleges en met een begeleidende memo door te leiden naar hun gemeenteraad/Provinciale Staten.</w:t>
            </w:r>
          </w:p>
          <w:p w14:paraId="56684133" w14:textId="77777777" w:rsidR="00F028C7" w:rsidRPr="00296F44" w:rsidRDefault="00F028C7" w:rsidP="00EC422B">
            <w:pPr>
              <w:ind w:right="57"/>
              <w:rPr>
                <w:noProof w:val="0"/>
              </w:rPr>
            </w:pPr>
          </w:p>
        </w:tc>
      </w:tr>
      <w:tr w:rsidR="004832C0" w:rsidRPr="00296F44" w14:paraId="5D7DA833" w14:textId="77777777" w:rsidTr="003E5F1B">
        <w:trPr>
          <w:cantSplit/>
          <w:trHeight w:hRule="exact" w:val="58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096" w14:textId="7F97B4FE" w:rsidR="004832C0" w:rsidRPr="00296F44" w:rsidRDefault="004832C0" w:rsidP="003E5F1B">
            <w:pPr>
              <w:pStyle w:val="Geenafstand"/>
              <w:ind w:left="57" w:right="57"/>
              <w:rPr>
                <w:noProof w:val="0"/>
              </w:rPr>
            </w:pPr>
            <w:r>
              <w:rPr>
                <w:noProof w:val="0"/>
              </w:rPr>
              <w:t>Verplicht publiceren in GR blad</w:t>
            </w:r>
            <w:r w:rsidRPr="00296F44">
              <w:rPr>
                <w:noProof w:val="0"/>
              </w:rPr>
              <w:t xml:space="preserve">: </w:t>
            </w:r>
            <w:sdt>
              <w:sdtPr>
                <w:rPr>
                  <w:noProof w:val="0"/>
                </w:rPr>
                <w:id w:val="-8288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6F44">
                  <w:rPr>
                    <w:rFonts w:ascii="MS Gothic" w:eastAsia="MS Gothic" w:hAnsi="MS Gothic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555555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1B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nee</w:t>
            </w:r>
            <w:r>
              <w:rPr>
                <w:noProof w:val="0"/>
              </w:rPr>
              <w:br/>
            </w:r>
          </w:p>
          <w:p w14:paraId="1B4409F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C3FED2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B7AAF03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C98F3D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2D01CB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4EB1BA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A90E130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31BAA2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75B9175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EE7EF92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2DEAB7A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3652F7A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BDB3216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31D5CD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88099A0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89254F5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0D21FE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81FE101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A079A4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0B6C1D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E36BDA7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5168F20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</w:tc>
      </w:tr>
    </w:tbl>
    <w:p w14:paraId="38AA83BF" w14:textId="77777777" w:rsidR="00BE54D8" w:rsidRPr="00296F44" w:rsidRDefault="00BE54D8" w:rsidP="000207EB">
      <w:pPr>
        <w:ind w:left="-709"/>
        <w:rPr>
          <w:noProof w:val="0"/>
        </w:rPr>
      </w:pPr>
    </w:p>
    <w:sectPr w:rsidR="00BE54D8" w:rsidRPr="00296F44" w:rsidSect="000207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91" w:bottom="567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0884" w14:textId="77777777" w:rsidR="00B14999" w:rsidRDefault="00B14999" w:rsidP="004F3CE6">
      <w:r>
        <w:separator/>
      </w:r>
    </w:p>
  </w:endnote>
  <w:endnote w:type="continuationSeparator" w:id="0">
    <w:p w14:paraId="11DB7FD6" w14:textId="77777777" w:rsidR="00B14999" w:rsidRDefault="00B14999" w:rsidP="004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0C68" w14:textId="77777777" w:rsidR="00FB2BDB" w:rsidRDefault="00FB2B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F5AD" w14:textId="77777777" w:rsidR="00FB2BDB" w:rsidRDefault="00FB2B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86539" w14:textId="77777777" w:rsidR="000207EB" w:rsidRPr="000207EB" w:rsidRDefault="000207EB" w:rsidP="000207EB">
    <w:pPr>
      <w:pStyle w:val="Voettekst"/>
      <w:jc w:val="right"/>
      <w:rPr>
        <w:i/>
        <w:color w:val="404040" w:themeColor="text1" w:themeTint="BF"/>
        <w:sz w:val="16"/>
        <w:szCs w:val="16"/>
      </w:rPr>
    </w:pP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PAGE  \* Arabic  \*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625F1A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  <w:r w:rsidRPr="00BA0E69">
      <w:rPr>
        <w:i/>
        <w:color w:val="404040" w:themeColor="text1" w:themeTint="BF"/>
        <w:sz w:val="16"/>
        <w:szCs w:val="16"/>
      </w:rPr>
      <w:t xml:space="preserve"> van </w:t>
    </w: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NUMPAGES \ * Arabisch \ 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625F1A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FA5A" w14:textId="77777777" w:rsidR="00B14999" w:rsidRDefault="00B14999" w:rsidP="004F3CE6">
      <w:r>
        <w:separator/>
      </w:r>
    </w:p>
  </w:footnote>
  <w:footnote w:type="continuationSeparator" w:id="0">
    <w:p w14:paraId="5E865457" w14:textId="77777777" w:rsidR="00B14999" w:rsidRDefault="00B14999" w:rsidP="004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4C89E" w14:textId="77777777" w:rsidR="00FB2BDB" w:rsidRDefault="00FB2B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D425" w14:textId="77777777" w:rsidR="00FB2BDB" w:rsidRDefault="00FB2B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3930" w14:textId="77777777" w:rsidR="000207EB" w:rsidRDefault="000207EB">
    <w:pPr>
      <w:pStyle w:val="Koptekst"/>
    </w:pPr>
    <w:r>
      <w:drawing>
        <wp:anchor distT="0" distB="0" distL="114300" distR="114300" simplePos="0" relativeHeight="251659264" behindDoc="0" locked="0" layoutInCell="1" allowOverlap="1" wp14:anchorId="49FEA65F" wp14:editId="494176B5">
          <wp:simplePos x="0" y="0"/>
          <wp:positionH relativeFrom="column">
            <wp:posOffset>-456247</wp:posOffset>
          </wp:positionH>
          <wp:positionV relativeFrom="paragraph">
            <wp:posOffset>-67903</wp:posOffset>
          </wp:positionV>
          <wp:extent cx="1678028" cy="9619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ODMH\Logo's ODMH\Logo's ODMH\ODMH-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028" cy="96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03255"/>
    <w:multiLevelType w:val="hybridMultilevel"/>
    <w:tmpl w:val="6928ADF2"/>
    <w:lvl w:ilvl="0" w:tplc="C3A41E52">
      <w:start w:val="1"/>
      <w:numFmt w:val="decimal"/>
      <w:lvlText w:val="%1."/>
      <w:lvlJc w:val="left"/>
      <w:pPr>
        <w:ind w:left="417" w:hanging="360"/>
      </w:pPr>
      <w:rPr>
        <w:rFonts w:ascii="Arial" w:eastAsia="Times New Roman" w:hAnsi="Arial" w:cs="Arial"/>
      </w:rPr>
    </w:lvl>
    <w:lvl w:ilvl="1" w:tplc="04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999"/>
    <w:rsid w:val="0000373D"/>
    <w:rsid w:val="0001077D"/>
    <w:rsid w:val="0002051D"/>
    <w:rsid w:val="000207EB"/>
    <w:rsid w:val="00024C27"/>
    <w:rsid w:val="00030A45"/>
    <w:rsid w:val="000621FA"/>
    <w:rsid w:val="000641F6"/>
    <w:rsid w:val="00070ECE"/>
    <w:rsid w:val="00075285"/>
    <w:rsid w:val="000D6B38"/>
    <w:rsid w:val="000E2DD8"/>
    <w:rsid w:val="000F5B20"/>
    <w:rsid w:val="0010407A"/>
    <w:rsid w:val="001200A8"/>
    <w:rsid w:val="0016218E"/>
    <w:rsid w:val="00175640"/>
    <w:rsid w:val="001E739C"/>
    <w:rsid w:val="00202C08"/>
    <w:rsid w:val="00260F48"/>
    <w:rsid w:val="0029133B"/>
    <w:rsid w:val="00295AD4"/>
    <w:rsid w:val="00296F44"/>
    <w:rsid w:val="002B1471"/>
    <w:rsid w:val="003043B0"/>
    <w:rsid w:val="00325214"/>
    <w:rsid w:val="0033528F"/>
    <w:rsid w:val="003401FF"/>
    <w:rsid w:val="003B37B4"/>
    <w:rsid w:val="003C2A16"/>
    <w:rsid w:val="003E3E53"/>
    <w:rsid w:val="003E5F1B"/>
    <w:rsid w:val="00466865"/>
    <w:rsid w:val="004832C0"/>
    <w:rsid w:val="004A29C2"/>
    <w:rsid w:val="004B5659"/>
    <w:rsid w:val="004D5E65"/>
    <w:rsid w:val="004E72CF"/>
    <w:rsid w:val="004F3CE6"/>
    <w:rsid w:val="004F5D06"/>
    <w:rsid w:val="004F681C"/>
    <w:rsid w:val="004F7EC7"/>
    <w:rsid w:val="00505CC3"/>
    <w:rsid w:val="00516D90"/>
    <w:rsid w:val="005B7C0E"/>
    <w:rsid w:val="005D3F2C"/>
    <w:rsid w:val="005E42EB"/>
    <w:rsid w:val="00625F1A"/>
    <w:rsid w:val="00647AB8"/>
    <w:rsid w:val="00681B20"/>
    <w:rsid w:val="006C2267"/>
    <w:rsid w:val="006D0448"/>
    <w:rsid w:val="006E4607"/>
    <w:rsid w:val="006E6A94"/>
    <w:rsid w:val="006F3D4B"/>
    <w:rsid w:val="00712548"/>
    <w:rsid w:val="007178BD"/>
    <w:rsid w:val="00733502"/>
    <w:rsid w:val="0074778D"/>
    <w:rsid w:val="00767A7D"/>
    <w:rsid w:val="0077243D"/>
    <w:rsid w:val="00773481"/>
    <w:rsid w:val="00775021"/>
    <w:rsid w:val="00775A5D"/>
    <w:rsid w:val="00777244"/>
    <w:rsid w:val="007D3C6D"/>
    <w:rsid w:val="008020B0"/>
    <w:rsid w:val="0086369B"/>
    <w:rsid w:val="00863928"/>
    <w:rsid w:val="00880681"/>
    <w:rsid w:val="00881C47"/>
    <w:rsid w:val="008E7D85"/>
    <w:rsid w:val="00906DCB"/>
    <w:rsid w:val="009166C2"/>
    <w:rsid w:val="009607C9"/>
    <w:rsid w:val="00976C2C"/>
    <w:rsid w:val="00977B3B"/>
    <w:rsid w:val="009C5944"/>
    <w:rsid w:val="009D426F"/>
    <w:rsid w:val="009F6AA9"/>
    <w:rsid w:val="00A15790"/>
    <w:rsid w:val="00A228E1"/>
    <w:rsid w:val="00A373F8"/>
    <w:rsid w:val="00A63E37"/>
    <w:rsid w:val="00A63F88"/>
    <w:rsid w:val="00A80B68"/>
    <w:rsid w:val="00AB0CDA"/>
    <w:rsid w:val="00AB79D0"/>
    <w:rsid w:val="00AE4DAC"/>
    <w:rsid w:val="00B14999"/>
    <w:rsid w:val="00B22380"/>
    <w:rsid w:val="00B615B0"/>
    <w:rsid w:val="00B626DC"/>
    <w:rsid w:val="00B87E08"/>
    <w:rsid w:val="00BB0F83"/>
    <w:rsid w:val="00BE54D8"/>
    <w:rsid w:val="00C15317"/>
    <w:rsid w:val="00C2044C"/>
    <w:rsid w:val="00C31D25"/>
    <w:rsid w:val="00C5594F"/>
    <w:rsid w:val="00C70EDF"/>
    <w:rsid w:val="00C92A9A"/>
    <w:rsid w:val="00CA298F"/>
    <w:rsid w:val="00CC340F"/>
    <w:rsid w:val="00CE72D8"/>
    <w:rsid w:val="00CF539D"/>
    <w:rsid w:val="00D81576"/>
    <w:rsid w:val="00DA5D9D"/>
    <w:rsid w:val="00DB0175"/>
    <w:rsid w:val="00E2126C"/>
    <w:rsid w:val="00E30011"/>
    <w:rsid w:val="00E50DC6"/>
    <w:rsid w:val="00E94CE1"/>
    <w:rsid w:val="00EA4F0B"/>
    <w:rsid w:val="00EC422B"/>
    <w:rsid w:val="00ED651D"/>
    <w:rsid w:val="00EE4951"/>
    <w:rsid w:val="00F01F9E"/>
    <w:rsid w:val="00F028C7"/>
    <w:rsid w:val="00F02BBD"/>
    <w:rsid w:val="00F076B5"/>
    <w:rsid w:val="00F2079A"/>
    <w:rsid w:val="00F27E9B"/>
    <w:rsid w:val="00F52711"/>
    <w:rsid w:val="00F610E3"/>
    <w:rsid w:val="00F74D37"/>
    <w:rsid w:val="00F8040A"/>
    <w:rsid w:val="00FA3DFA"/>
    <w:rsid w:val="00FB2BDB"/>
    <w:rsid w:val="00FF1370"/>
    <w:rsid w:val="1DD9861F"/>
    <w:rsid w:val="261F5595"/>
    <w:rsid w:val="287CF875"/>
    <w:rsid w:val="3E78A20A"/>
    <w:rsid w:val="57A5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BCC2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tekst"/>
    <w:qFormat/>
    <w:rsid w:val="004F3CE6"/>
    <w:rPr>
      <w:rFonts w:ascii="Arial" w:hAnsi="Arial"/>
      <w:noProof/>
    </w:rPr>
  </w:style>
  <w:style w:type="paragraph" w:styleId="Kop1">
    <w:name w:val="heading 1"/>
    <w:basedOn w:val="Standaard"/>
    <w:next w:val="Standaard"/>
    <w:qFormat/>
    <w:rsid w:val="000641F6"/>
    <w:pPr>
      <w:keepNext/>
      <w:outlineLvl w:val="0"/>
    </w:pPr>
    <w:rPr>
      <w:i/>
      <w:sz w:val="18"/>
      <w:lang w:val="en-US"/>
    </w:rPr>
  </w:style>
  <w:style w:type="paragraph" w:styleId="Kop2">
    <w:name w:val="heading 2"/>
    <w:basedOn w:val="Standaard"/>
    <w:next w:val="Standaard"/>
    <w:qFormat/>
    <w:rsid w:val="000641F6"/>
    <w:pPr>
      <w:keepNext/>
      <w:outlineLvl w:val="1"/>
    </w:pPr>
    <w:rPr>
      <w:i/>
      <w:spacing w:val="11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0641F6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0641F6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5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59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1B20"/>
    <w:pPr>
      <w:ind w:left="720"/>
      <w:contextualSpacing/>
    </w:pPr>
  </w:style>
  <w:style w:type="paragraph" w:styleId="Geenafstand">
    <w:name w:val="No Spacing"/>
    <w:aliases w:val="ODMH kop,ODMH tussenkop"/>
    <w:uiPriority w:val="1"/>
    <w:qFormat/>
    <w:rsid w:val="004F3CE6"/>
    <w:pPr>
      <w:spacing w:before="120" w:after="120"/>
    </w:pPr>
    <w:rPr>
      <w:rFonts w:ascii="Arial" w:hAnsi="Arial"/>
      <w:b/>
      <w:noProof/>
    </w:rPr>
  </w:style>
  <w:style w:type="character" w:customStyle="1" w:styleId="VoettekstChar">
    <w:name w:val="Voettekst Char"/>
    <w:basedOn w:val="Standaardalinea-lettertype"/>
    <w:link w:val="Voettekst"/>
    <w:uiPriority w:val="99"/>
    <w:rsid w:val="000207EB"/>
    <w:rPr>
      <w:rFonts w:ascii="Arial" w:hAnsi="Arial"/>
      <w:noProof/>
    </w:rPr>
  </w:style>
  <w:style w:type="character" w:styleId="Hyperlink">
    <w:name w:val="Hyperlink"/>
    <w:basedOn w:val="Standaardalinea-lettertype"/>
    <w:uiPriority w:val="99"/>
    <w:unhideWhenUsed/>
    <w:rsid w:val="00A63F8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3F8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3E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3E3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3E37"/>
    <w:rPr>
      <w:rFonts w:ascii="Arial" w:hAnsi="Arial"/>
      <w:noProof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3E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3E37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busVTH@minienw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Voorblad%20D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4B42623B2F14A920E1D596D84B2B7" ma:contentTypeVersion="13" ma:contentTypeDescription="Create a new document." ma:contentTypeScope="" ma:versionID="e69f7fa1f4154058d23995b92644448d">
  <xsd:schema xmlns:xsd="http://www.w3.org/2001/XMLSchema" xmlns:xs="http://www.w3.org/2001/XMLSchema" xmlns:p="http://schemas.microsoft.com/office/2006/metadata/properties" xmlns:ns2="b862baac-bb1a-43ac-9550-11cf58bd2d88" xmlns:ns3="605da6d7-57f9-4e85-a5c2-509e40334cf9" targetNamespace="http://schemas.microsoft.com/office/2006/metadata/properties" ma:root="true" ma:fieldsID="c65d961ababd497a88bcf8107386e878" ns2:_="" ns3:_="">
    <xsd:import namespace="b862baac-bb1a-43ac-9550-11cf58bd2d88"/>
    <xsd:import namespace="605da6d7-57f9-4e85-a5c2-509e4033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baac-bb1a-43ac-9550-11cf58bd2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506a7f-7336-4ec3-aaea-0298be48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da6d7-57f9-4e85-a5c2-509e40334c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fa61f7-12e9-4e30-a232-7525697ed0b5}" ma:internalName="TaxCatchAll" ma:showField="CatchAllData" ma:web="605da6d7-57f9-4e85-a5c2-509e4033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da6d7-57f9-4e85-a5c2-509e40334cf9" xsi:nil="true"/>
    <lcf76f155ced4ddcb4097134ff3c332f xmlns="b862baac-bb1a-43ac-9550-11cf58bd2d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12BAF-A899-4D1D-BF55-A706F942A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0C6F1-AE16-4845-822A-39A2001D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baac-bb1a-43ac-9550-11cf58bd2d88"/>
    <ds:schemaRef ds:uri="605da6d7-57f9-4e85-a5c2-509e4033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86091-BC1D-4814-82A7-324306D463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3EADD-7C23-4DC3-9647-6397FF96B5D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862baac-bb1a-43ac-9550-11cf58bd2d8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05da6d7-57f9-4e85-a5c2-509e40334cf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Voorblad DB.dotx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2023-09-11T07:57:00Z</dcterms:created>
  <dcterms:modified xsi:type="dcterms:W3CDTF">2023-09-11T09:23:00Z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0x0101007434B42623B2F14A920E1D596D84B2B7</vt:lpwstr>
  </property>
  <property fmtid="{D5CDD505-2E9C-101B-9397-08002B2CF9AE}" pid="3" name="MediaServiceImageTags">
    <vt:lpwstr/>
  </property>
</Properties>
</file>