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60FB6" w14:textId="77777777" w:rsidR="00BE54D8" w:rsidRPr="00296F44" w:rsidRDefault="00BE54D8" w:rsidP="004F3CE6">
      <w:pPr>
        <w:rPr>
          <w:noProof w:val="0"/>
        </w:rPr>
      </w:pPr>
    </w:p>
    <w:p w14:paraId="14659030" w14:textId="77777777" w:rsidR="0016218E" w:rsidRPr="00296F44" w:rsidRDefault="00B87E08" w:rsidP="004F3CE6">
      <w:pPr>
        <w:rPr>
          <w:noProof w:val="0"/>
        </w:rPr>
      </w:pPr>
      <w:r w:rsidRPr="00296F44">
        <w:rPr>
          <w:noProof w:val="0"/>
        </w:rPr>
        <w:tab/>
      </w:r>
    </w:p>
    <w:p w14:paraId="17594E77" w14:textId="77777777" w:rsidR="00BE54D8" w:rsidRPr="00296F44" w:rsidRDefault="00BE54D8" w:rsidP="004F3CE6">
      <w:pPr>
        <w:rPr>
          <w:noProof w:val="0"/>
        </w:rPr>
      </w:pPr>
    </w:p>
    <w:tbl>
      <w:tblPr>
        <w:tblW w:w="9640" w:type="dxa"/>
        <w:tblInd w:w="-704" w:type="dxa"/>
        <w:tblLayout w:type="fixed"/>
        <w:tblCellMar>
          <w:left w:w="0" w:type="dxa"/>
          <w:right w:w="0" w:type="dxa"/>
        </w:tblCellMar>
        <w:tblLook w:val="0000" w:firstRow="0" w:lastRow="0" w:firstColumn="0" w:lastColumn="0" w:noHBand="0" w:noVBand="0"/>
      </w:tblPr>
      <w:tblGrid>
        <w:gridCol w:w="3119"/>
        <w:gridCol w:w="3402"/>
        <w:gridCol w:w="3119"/>
      </w:tblGrid>
      <w:tr w:rsidR="00625F1A" w:rsidRPr="00296F44" w14:paraId="6AF188A3" w14:textId="77777777" w:rsidTr="004D7F1F">
        <w:trPr>
          <w:cantSplit/>
          <w:trHeight w:hRule="exact" w:val="717"/>
        </w:trPr>
        <w:tc>
          <w:tcPr>
            <w:tcW w:w="6521" w:type="dxa"/>
            <w:gridSpan w:val="2"/>
            <w:tcBorders>
              <w:top w:val="single" w:sz="4" w:space="0" w:color="auto"/>
              <w:left w:val="single" w:sz="4" w:space="0" w:color="auto"/>
              <w:bottom w:val="single" w:sz="4" w:space="0" w:color="auto"/>
              <w:right w:val="single" w:sz="4" w:space="0" w:color="auto"/>
            </w:tcBorders>
          </w:tcPr>
          <w:p w14:paraId="5823FA94" w14:textId="57F485B9" w:rsidR="00625F1A" w:rsidRPr="00296F44" w:rsidRDefault="00625F1A" w:rsidP="006E6A94">
            <w:pPr>
              <w:pStyle w:val="Geenafstand"/>
              <w:rPr>
                <w:noProof w:val="0"/>
              </w:rPr>
            </w:pPr>
            <w:r w:rsidRPr="00296F44">
              <w:rPr>
                <w:i/>
                <w:noProof w:val="0"/>
              </w:rPr>
              <w:t xml:space="preserve"> </w:t>
            </w:r>
            <w:r w:rsidR="00872177">
              <w:rPr>
                <w:noProof w:val="0"/>
              </w:rPr>
              <w:t>A</w:t>
            </w:r>
            <w:r w:rsidRPr="00296F44">
              <w:rPr>
                <w:noProof w:val="0"/>
              </w:rPr>
              <w:t xml:space="preserve">B-vergadering: </w:t>
            </w:r>
            <w:bookmarkStart w:id="0" w:name="Text1"/>
            <w:r w:rsidR="00053D33">
              <w:rPr>
                <w:noProof w:val="0"/>
              </w:rPr>
              <w:t>26-10</w:t>
            </w:r>
            <w:r w:rsidR="006952D3">
              <w:rPr>
                <w:noProof w:val="0"/>
              </w:rPr>
              <w:t>-202</w:t>
            </w:r>
            <w:r w:rsidR="0014230E">
              <w:rPr>
                <w:noProof w:val="0"/>
              </w:rPr>
              <w:t>3</w:t>
            </w:r>
          </w:p>
          <w:bookmarkEnd w:id="0"/>
          <w:p w14:paraId="7750E750" w14:textId="77777777" w:rsidR="00625F1A" w:rsidRPr="00296F44" w:rsidRDefault="00625F1A" w:rsidP="00625F1A">
            <w:pPr>
              <w:pStyle w:val="Geenafstand"/>
              <w:rPr>
                <w:noProof w:val="0"/>
              </w:rPr>
            </w:pPr>
            <w:r w:rsidRPr="00296F44">
              <w:rPr>
                <w:noProof w:val="0"/>
              </w:rPr>
              <w:t xml:space="preserve"> </w:t>
            </w:r>
          </w:p>
        </w:tc>
        <w:tc>
          <w:tcPr>
            <w:tcW w:w="3119" w:type="dxa"/>
            <w:tcBorders>
              <w:top w:val="single" w:sz="4" w:space="0" w:color="auto"/>
              <w:left w:val="single" w:sz="4" w:space="0" w:color="auto"/>
              <w:bottom w:val="single" w:sz="4" w:space="0" w:color="auto"/>
              <w:right w:val="single" w:sz="4" w:space="0" w:color="auto"/>
            </w:tcBorders>
          </w:tcPr>
          <w:p w14:paraId="75C6E950" w14:textId="2B938215" w:rsidR="00625F1A" w:rsidRPr="00296F44" w:rsidRDefault="00625F1A" w:rsidP="004F3CE6">
            <w:pPr>
              <w:pStyle w:val="Geenafstand"/>
              <w:rPr>
                <w:noProof w:val="0"/>
              </w:rPr>
            </w:pPr>
            <w:r w:rsidRPr="00296F44">
              <w:rPr>
                <w:noProof w:val="0"/>
              </w:rPr>
              <w:t xml:space="preserve"> Agendapunt: </w:t>
            </w:r>
            <w:r w:rsidR="00A53E21">
              <w:rPr>
                <w:noProof w:val="0"/>
              </w:rPr>
              <w:t>9</w:t>
            </w:r>
          </w:p>
        </w:tc>
      </w:tr>
      <w:tr w:rsidR="00BE54D8" w:rsidRPr="00296F44" w14:paraId="4506919A" w14:textId="77777777" w:rsidTr="000F5B20">
        <w:trPr>
          <w:cantSplit/>
          <w:trHeight w:hRule="exact" w:val="725"/>
        </w:trPr>
        <w:tc>
          <w:tcPr>
            <w:tcW w:w="9640" w:type="dxa"/>
            <w:gridSpan w:val="3"/>
            <w:tcBorders>
              <w:top w:val="single" w:sz="4" w:space="0" w:color="auto"/>
              <w:left w:val="single" w:sz="4" w:space="0" w:color="auto"/>
              <w:bottom w:val="single" w:sz="4" w:space="0" w:color="auto"/>
              <w:right w:val="single" w:sz="4" w:space="0" w:color="auto"/>
            </w:tcBorders>
          </w:tcPr>
          <w:p w14:paraId="4F13C8AE" w14:textId="4F8C095E" w:rsidR="00BE54D8" w:rsidRPr="00296F44" w:rsidRDefault="003401FF" w:rsidP="0070470B">
            <w:pPr>
              <w:pStyle w:val="Geenafstand"/>
              <w:rPr>
                <w:i/>
                <w:noProof w:val="0"/>
              </w:rPr>
            </w:pPr>
            <w:r w:rsidRPr="00296F44">
              <w:rPr>
                <w:noProof w:val="0"/>
              </w:rPr>
              <w:t xml:space="preserve"> </w:t>
            </w:r>
            <w:r w:rsidR="00E50DC6" w:rsidRPr="00296F44">
              <w:rPr>
                <w:noProof w:val="0"/>
              </w:rPr>
              <w:t xml:space="preserve">Onderwerp: </w:t>
            </w:r>
            <w:r w:rsidR="00053D33">
              <w:rPr>
                <w:noProof w:val="0"/>
              </w:rPr>
              <w:t>2</w:t>
            </w:r>
            <w:r w:rsidR="0070470B" w:rsidRPr="0070470B">
              <w:rPr>
                <w:noProof w:val="0"/>
                <w:vertAlign w:val="superscript"/>
              </w:rPr>
              <w:t>e</w:t>
            </w:r>
            <w:r w:rsidR="006952D3">
              <w:rPr>
                <w:noProof w:val="0"/>
              </w:rPr>
              <w:t xml:space="preserve"> Managementrapportage 202</w:t>
            </w:r>
            <w:r w:rsidR="0014230E">
              <w:rPr>
                <w:noProof w:val="0"/>
              </w:rPr>
              <w:t>3</w:t>
            </w:r>
          </w:p>
        </w:tc>
      </w:tr>
      <w:tr w:rsidR="00202C08" w:rsidRPr="00296F44" w14:paraId="2A285803" w14:textId="77777777" w:rsidTr="000F5B20">
        <w:trPr>
          <w:cantSplit/>
          <w:trHeight w:hRule="exact" w:val="861"/>
        </w:trPr>
        <w:tc>
          <w:tcPr>
            <w:tcW w:w="3119" w:type="dxa"/>
            <w:tcBorders>
              <w:top w:val="single" w:sz="4" w:space="0" w:color="auto"/>
              <w:left w:val="single" w:sz="4" w:space="0" w:color="auto"/>
              <w:bottom w:val="single" w:sz="4" w:space="0" w:color="auto"/>
              <w:right w:val="single" w:sz="4" w:space="0" w:color="auto"/>
            </w:tcBorders>
          </w:tcPr>
          <w:p w14:paraId="280CAB58" w14:textId="77777777" w:rsidR="00202C08" w:rsidRPr="00296F44" w:rsidRDefault="00202C08" w:rsidP="00202C08">
            <w:pPr>
              <w:pStyle w:val="Koptekst"/>
              <w:rPr>
                <w:noProof w:val="0"/>
              </w:rPr>
            </w:pPr>
            <w:r w:rsidRPr="00296F44">
              <w:rPr>
                <w:noProof w:val="0"/>
              </w:rPr>
              <w:t xml:space="preserve"> </w:t>
            </w:r>
          </w:p>
          <w:p w14:paraId="0916261D" w14:textId="1A7FF9F5" w:rsidR="00202C08" w:rsidRPr="00296F44" w:rsidRDefault="00202C08" w:rsidP="0070470B">
            <w:pPr>
              <w:pStyle w:val="Geenafstand"/>
              <w:rPr>
                <w:noProof w:val="0"/>
              </w:rPr>
            </w:pPr>
            <w:r w:rsidRPr="00296F44">
              <w:rPr>
                <w:noProof w:val="0"/>
              </w:rPr>
              <w:t xml:space="preserve"> Portefeuillehouder: </w:t>
            </w:r>
            <w:r w:rsidR="0014230E">
              <w:rPr>
                <w:noProof w:val="0"/>
              </w:rPr>
              <w:t>M.G. Boere</w:t>
            </w:r>
          </w:p>
        </w:tc>
        <w:tc>
          <w:tcPr>
            <w:tcW w:w="3402" w:type="dxa"/>
            <w:tcBorders>
              <w:top w:val="single" w:sz="4" w:space="0" w:color="auto"/>
              <w:left w:val="single" w:sz="4" w:space="0" w:color="auto"/>
              <w:bottom w:val="single" w:sz="4" w:space="0" w:color="auto"/>
              <w:right w:val="single" w:sz="4" w:space="0" w:color="auto"/>
            </w:tcBorders>
          </w:tcPr>
          <w:p w14:paraId="31C0E387" w14:textId="77777777" w:rsidR="00202C08" w:rsidRPr="00296F44" w:rsidRDefault="00202C08" w:rsidP="00202C08">
            <w:pPr>
              <w:rPr>
                <w:rFonts w:cs="Arial"/>
                <w:noProof w:val="0"/>
              </w:rPr>
            </w:pPr>
            <w:r w:rsidRPr="00296F44">
              <w:rPr>
                <w:rFonts w:cs="Arial"/>
                <w:noProof w:val="0"/>
              </w:rPr>
              <w:t xml:space="preserve"> </w:t>
            </w:r>
          </w:p>
          <w:p w14:paraId="4FE58656" w14:textId="77777777" w:rsidR="00202C08" w:rsidRPr="00296F44" w:rsidRDefault="00202C08" w:rsidP="00202C08">
            <w:pPr>
              <w:pStyle w:val="Geenafstand"/>
              <w:rPr>
                <w:noProof w:val="0"/>
              </w:rPr>
            </w:pPr>
            <w:r w:rsidRPr="00296F44">
              <w:rPr>
                <w:noProof w:val="0"/>
              </w:rPr>
              <w:t xml:space="preserve"> Openbaar: </w:t>
            </w:r>
            <w:sdt>
              <w:sdtPr>
                <w:rPr>
                  <w:noProof w:val="0"/>
                </w:rPr>
                <w:id w:val="-143042052"/>
                <w14:checkbox>
                  <w14:checked w14:val="0"/>
                  <w14:checkedState w14:val="2612" w14:font="MS Gothic"/>
                  <w14:uncheckedState w14:val="2610" w14:font="MS Gothic"/>
                </w14:checkbox>
              </w:sdtPr>
              <w:sdtEndPr/>
              <w:sdtContent>
                <w:r w:rsidRPr="00296F44">
                  <w:rPr>
                    <w:rFonts w:ascii="MS Gothic" w:eastAsia="MS Gothic" w:hAnsi="MS Gothic"/>
                    <w:noProof w:val="0"/>
                  </w:rPr>
                  <w:t>☐</w:t>
                </w:r>
              </w:sdtContent>
            </w:sdt>
            <w:r w:rsidRPr="00296F44">
              <w:rPr>
                <w:noProof w:val="0"/>
              </w:rPr>
              <w:t xml:space="preserve"> ja   /   </w:t>
            </w:r>
            <w:sdt>
              <w:sdtPr>
                <w:rPr>
                  <w:noProof w:val="0"/>
                </w:rPr>
                <w:id w:val="-842935722"/>
                <w14:checkbox>
                  <w14:checked w14:val="1"/>
                  <w14:checkedState w14:val="2612" w14:font="MS Gothic"/>
                  <w14:uncheckedState w14:val="2610" w14:font="MS Gothic"/>
                </w14:checkbox>
              </w:sdtPr>
              <w:sdtEndPr/>
              <w:sdtContent>
                <w:r w:rsidR="0070470B">
                  <w:rPr>
                    <w:rFonts w:ascii="MS Gothic" w:eastAsia="MS Gothic" w:hAnsi="MS Gothic" w:hint="eastAsia"/>
                    <w:noProof w:val="0"/>
                  </w:rPr>
                  <w:t>☒</w:t>
                </w:r>
              </w:sdtContent>
            </w:sdt>
            <w:r w:rsidRPr="00296F44">
              <w:rPr>
                <w:noProof w:val="0"/>
              </w:rPr>
              <w:t xml:space="preserve"> nee</w:t>
            </w:r>
          </w:p>
        </w:tc>
        <w:tc>
          <w:tcPr>
            <w:tcW w:w="3119" w:type="dxa"/>
            <w:tcBorders>
              <w:top w:val="single" w:sz="4" w:space="0" w:color="auto"/>
              <w:left w:val="single" w:sz="4" w:space="0" w:color="auto"/>
              <w:bottom w:val="single" w:sz="4" w:space="0" w:color="auto"/>
              <w:right w:val="single" w:sz="4" w:space="0" w:color="auto"/>
            </w:tcBorders>
          </w:tcPr>
          <w:p w14:paraId="335F7858" w14:textId="77777777" w:rsidR="00202C08" w:rsidRPr="00296F44" w:rsidRDefault="00202C08" w:rsidP="00202C08">
            <w:pPr>
              <w:rPr>
                <w:noProof w:val="0"/>
              </w:rPr>
            </w:pPr>
            <w:r w:rsidRPr="00296F44">
              <w:rPr>
                <w:noProof w:val="0"/>
              </w:rPr>
              <w:t xml:space="preserve"> </w:t>
            </w:r>
          </w:p>
          <w:p w14:paraId="70989F68" w14:textId="77777777" w:rsidR="00202C08" w:rsidRPr="00296F44" w:rsidRDefault="00202C08" w:rsidP="0070470B">
            <w:pPr>
              <w:pStyle w:val="Geenafstand"/>
              <w:rPr>
                <w:noProof w:val="0"/>
              </w:rPr>
            </w:pPr>
            <w:r w:rsidRPr="00296F44">
              <w:rPr>
                <w:noProof w:val="0"/>
              </w:rPr>
              <w:t xml:space="preserve"> Bijlage</w:t>
            </w:r>
            <w:r w:rsidR="00C92A9A">
              <w:rPr>
                <w:noProof w:val="0"/>
              </w:rPr>
              <w:t>(</w:t>
            </w:r>
            <w:r w:rsidRPr="00296F44">
              <w:rPr>
                <w:noProof w:val="0"/>
              </w:rPr>
              <w:t>n</w:t>
            </w:r>
            <w:r w:rsidR="00C92A9A">
              <w:rPr>
                <w:noProof w:val="0"/>
              </w:rPr>
              <w:t>)</w:t>
            </w:r>
            <w:r w:rsidRPr="00296F44">
              <w:rPr>
                <w:noProof w:val="0"/>
              </w:rPr>
              <w:t xml:space="preserve">: </w:t>
            </w:r>
            <w:r w:rsidR="0070470B">
              <w:rPr>
                <w:noProof w:val="0"/>
              </w:rPr>
              <w:t>1</w:t>
            </w:r>
          </w:p>
        </w:tc>
      </w:tr>
      <w:tr w:rsidR="00202C08" w:rsidRPr="00296F44" w14:paraId="5023E0C0" w14:textId="77777777" w:rsidTr="00314592">
        <w:trPr>
          <w:cantSplit/>
          <w:trHeight w:hRule="exact" w:val="7501"/>
        </w:trPr>
        <w:tc>
          <w:tcPr>
            <w:tcW w:w="9640" w:type="dxa"/>
            <w:gridSpan w:val="3"/>
            <w:tcBorders>
              <w:top w:val="single" w:sz="4" w:space="0" w:color="auto"/>
              <w:left w:val="single" w:sz="4" w:space="0" w:color="auto"/>
              <w:bottom w:val="single" w:sz="4" w:space="0" w:color="auto"/>
              <w:right w:val="single" w:sz="4" w:space="0" w:color="auto"/>
            </w:tcBorders>
          </w:tcPr>
          <w:p w14:paraId="68C52F0C" w14:textId="77777777" w:rsidR="00202C08" w:rsidRPr="00296F44" w:rsidRDefault="00202C08" w:rsidP="00202C08">
            <w:pPr>
              <w:pStyle w:val="Geenafstand"/>
              <w:ind w:left="57" w:right="57"/>
              <w:rPr>
                <w:noProof w:val="0"/>
              </w:rPr>
            </w:pPr>
            <w:r w:rsidRPr="00296F44">
              <w:rPr>
                <w:noProof w:val="0"/>
              </w:rPr>
              <w:t xml:space="preserve">Samenvatting: </w:t>
            </w:r>
          </w:p>
          <w:p w14:paraId="08672CD5" w14:textId="77777777" w:rsidR="00314592" w:rsidRDefault="00314592" w:rsidP="00314592">
            <w:pPr>
              <w:ind w:left="57" w:right="57"/>
              <w:rPr>
                <w:noProof w:val="0"/>
              </w:rPr>
            </w:pPr>
            <w:r>
              <w:rPr>
                <w:noProof w:val="0"/>
              </w:rPr>
              <w:t>Jaarlijks worden twee managementrapportages (Marap’s) opgesteld door de ODMH. De voorliggende rapportage is de tweede van dit jaar en geeft een prognose die is opgesteld aan de hand van de realisatiecijfers tot en met augustus 2023.</w:t>
            </w:r>
          </w:p>
          <w:p w14:paraId="792F8C8A" w14:textId="77777777" w:rsidR="00314592" w:rsidRDefault="00314592" w:rsidP="00314592">
            <w:pPr>
              <w:ind w:left="57" w:right="57"/>
              <w:rPr>
                <w:noProof w:val="0"/>
              </w:rPr>
            </w:pPr>
          </w:p>
          <w:p w14:paraId="302F8DEF" w14:textId="77777777" w:rsidR="00314592" w:rsidRDefault="00314592" w:rsidP="00314592">
            <w:pPr>
              <w:ind w:left="57" w:right="57"/>
              <w:rPr>
                <w:noProof w:val="0"/>
              </w:rPr>
            </w:pPr>
            <w:r>
              <w:rPr>
                <w:noProof w:val="0"/>
              </w:rPr>
              <w:t>In de 1e managementrapportage van dit jaar werd als gevolg van de hoge inflatie een tekort voorspeld van in totaal € 920.0000. Het algemeen bestuur heeft toen besloten om een deel van dit tekort (circa € 400.000) te dekken vanuit de reserves van de ODMH en het resterende deel ad € 520.000 op te lossen door een tariefsverhoging per 1 juli 2023. Medio augustus is een begrotingswijziging naar de gemeenteraden en Provinciale Staten gestuurd. Deze begrotingswijziging effectueert de dekking van het tekort. Hiermee voldoet de ODMH aan de bepalingen in de Wet gemeenschappelijke regelingen om de deelnemers de gelegenheid te bieden een zienswijze in te dienen. De begrotingswijziging zal in de decembervergadering ter vaststelling voorgelegd worden aan het algemeen bestuur. Vooruitlopend op deze vaststelling zijn de maatregelen reeds in deze 2e managementrapportage verwerkt. De huidige prognose voor dit jaar is daarmee nul euro. De kosten en de opbrengsten zijn als gevolg van de aanvullende maatregelen in evenwicht.</w:t>
            </w:r>
          </w:p>
          <w:p w14:paraId="2B64D0C8" w14:textId="77777777" w:rsidR="00314592" w:rsidRDefault="00314592" w:rsidP="00314592">
            <w:pPr>
              <w:ind w:left="57" w:right="57"/>
              <w:rPr>
                <w:noProof w:val="0"/>
              </w:rPr>
            </w:pPr>
          </w:p>
          <w:p w14:paraId="55AA6305" w14:textId="20AE32B4" w:rsidR="00314592" w:rsidRDefault="00314592" w:rsidP="00314592">
            <w:pPr>
              <w:ind w:left="57" w:right="57"/>
              <w:rPr>
                <w:noProof w:val="0"/>
              </w:rPr>
            </w:pPr>
            <w:r>
              <w:rPr>
                <w:noProof w:val="0"/>
              </w:rPr>
              <w:t>De ODMH doet er alles aan om binnen budget te blijven. Dat laat onverlet dat er uitdagingen zijn. De situatie op de arbeidsmarkt is van dien aard, dat zowel het aanbod van arbeid als de kosten daarvan de nodige hobbels in de bedrijfsvoering veroorzaken. De ODMH heeft diverse initiatieven ontplooid om het hoofd te bieden aan deze problematiek en weet hierdoor het werk vooralsnog voldoende te bemensen.</w:t>
            </w:r>
          </w:p>
          <w:p w14:paraId="465F4697" w14:textId="04A592E8" w:rsidR="0070470B" w:rsidRPr="00296F44" w:rsidRDefault="00314592" w:rsidP="00314592">
            <w:pPr>
              <w:ind w:left="57" w:right="57"/>
              <w:rPr>
                <w:noProof w:val="0"/>
              </w:rPr>
            </w:pPr>
            <w:r>
              <w:rPr>
                <w:noProof w:val="0"/>
              </w:rPr>
              <w:t>Een andere uitdaging betreft de productie. Het vervangen van ons VTH-programma heeft er toe geleid dat we moesten wennen aan dit nieuwe programma en dat de benodigde rapportages opnieuw gebouwd moesten worden. Bijna een half jaar na de omschakeling zijn we nu redelijk gewend en hebben we weer overzicht. Het streven en de verwachting is dat we eind van het jaar rond de 100% zullen eindigen.</w:t>
            </w:r>
          </w:p>
        </w:tc>
      </w:tr>
      <w:tr w:rsidR="00202C08" w:rsidRPr="00296F44" w14:paraId="39C8A196" w14:textId="77777777" w:rsidTr="006E118B">
        <w:trPr>
          <w:cantSplit/>
          <w:trHeight w:hRule="exact" w:val="1000"/>
        </w:trPr>
        <w:tc>
          <w:tcPr>
            <w:tcW w:w="9640" w:type="dxa"/>
            <w:gridSpan w:val="3"/>
            <w:tcBorders>
              <w:top w:val="single" w:sz="4" w:space="0" w:color="auto"/>
              <w:left w:val="single" w:sz="4" w:space="0" w:color="auto"/>
              <w:bottom w:val="single" w:sz="4" w:space="0" w:color="auto"/>
              <w:right w:val="single" w:sz="4" w:space="0" w:color="auto"/>
            </w:tcBorders>
          </w:tcPr>
          <w:p w14:paraId="0B72140C" w14:textId="77777777" w:rsidR="00202C08" w:rsidRPr="00296F44" w:rsidRDefault="00202C08" w:rsidP="00202C08">
            <w:pPr>
              <w:pStyle w:val="Geenafstand"/>
              <w:ind w:left="57" w:right="57"/>
              <w:rPr>
                <w:noProof w:val="0"/>
              </w:rPr>
            </w:pPr>
            <w:r w:rsidRPr="00296F44">
              <w:rPr>
                <w:noProof w:val="0"/>
              </w:rPr>
              <w:t>Financiële consequenties:</w:t>
            </w:r>
          </w:p>
          <w:p w14:paraId="3277D239" w14:textId="3303C84F" w:rsidR="00202C08" w:rsidRPr="00296F44" w:rsidRDefault="00314592" w:rsidP="00202C08">
            <w:pPr>
              <w:ind w:left="57" w:right="57"/>
              <w:rPr>
                <w:noProof w:val="0"/>
              </w:rPr>
            </w:pPr>
            <w:r>
              <w:rPr>
                <w:noProof w:val="0"/>
              </w:rPr>
              <w:t>N.v.t.</w:t>
            </w:r>
          </w:p>
        </w:tc>
      </w:tr>
      <w:tr w:rsidR="00202C08" w:rsidRPr="00296F44" w14:paraId="7247D141" w14:textId="77777777" w:rsidTr="0070470B">
        <w:trPr>
          <w:cantSplit/>
          <w:trHeight w:hRule="exact" w:val="1412"/>
        </w:trPr>
        <w:tc>
          <w:tcPr>
            <w:tcW w:w="9640" w:type="dxa"/>
            <w:gridSpan w:val="3"/>
            <w:tcBorders>
              <w:top w:val="single" w:sz="4" w:space="0" w:color="auto"/>
              <w:left w:val="single" w:sz="4" w:space="0" w:color="auto"/>
              <w:bottom w:val="single" w:sz="4" w:space="0" w:color="auto"/>
              <w:right w:val="single" w:sz="4" w:space="0" w:color="auto"/>
            </w:tcBorders>
          </w:tcPr>
          <w:p w14:paraId="60EBB8E7" w14:textId="77777777" w:rsidR="00202C08" w:rsidRPr="00296F44" w:rsidRDefault="00202C08" w:rsidP="00202C08">
            <w:pPr>
              <w:pStyle w:val="Geenafstand"/>
              <w:ind w:left="57" w:right="57"/>
              <w:rPr>
                <w:noProof w:val="0"/>
              </w:rPr>
            </w:pPr>
            <w:r w:rsidRPr="00296F44">
              <w:rPr>
                <w:noProof w:val="0"/>
              </w:rPr>
              <w:t>Voorgestelde beslissing:</w:t>
            </w:r>
          </w:p>
          <w:p w14:paraId="4E2165B6" w14:textId="64DB4F57" w:rsidR="00202C08" w:rsidRPr="00296F44" w:rsidRDefault="0070470B" w:rsidP="0070470B">
            <w:pPr>
              <w:ind w:left="57" w:right="57"/>
              <w:rPr>
                <w:noProof w:val="0"/>
              </w:rPr>
            </w:pPr>
            <w:r w:rsidRPr="0070470B">
              <w:rPr>
                <w:noProof w:val="0"/>
              </w:rPr>
              <w:t xml:space="preserve">Het algemeen bestuur wordt voorgesteld om de besluiten, zoals weergegeven in </w:t>
            </w:r>
            <w:r w:rsidR="00E216FE">
              <w:rPr>
                <w:noProof w:val="0"/>
              </w:rPr>
              <w:t xml:space="preserve">hoofdstuk </w:t>
            </w:r>
            <w:r w:rsidR="00E3083B">
              <w:rPr>
                <w:noProof w:val="0"/>
              </w:rPr>
              <w:t>8</w:t>
            </w:r>
            <w:r w:rsidRPr="0070470B">
              <w:rPr>
                <w:noProof w:val="0"/>
              </w:rPr>
              <w:t xml:space="preserve"> van de </w:t>
            </w:r>
            <w:r w:rsidR="00314592">
              <w:rPr>
                <w:noProof w:val="0"/>
              </w:rPr>
              <w:t>2</w:t>
            </w:r>
            <w:r w:rsidR="00314592" w:rsidRPr="00314592">
              <w:rPr>
                <w:noProof w:val="0"/>
                <w:vertAlign w:val="superscript"/>
              </w:rPr>
              <w:t>e</w:t>
            </w:r>
            <w:r w:rsidR="00314592">
              <w:rPr>
                <w:noProof w:val="0"/>
              </w:rPr>
              <w:t> </w:t>
            </w:r>
            <w:r w:rsidRPr="0070470B">
              <w:rPr>
                <w:noProof w:val="0"/>
              </w:rPr>
              <w:t>Managementrapportage, vast te stellen.</w:t>
            </w:r>
          </w:p>
        </w:tc>
      </w:tr>
      <w:tr w:rsidR="00202C08" w:rsidRPr="00296F44" w14:paraId="5A38AB20" w14:textId="77777777" w:rsidTr="0070470B">
        <w:trPr>
          <w:cantSplit/>
          <w:trHeight w:hRule="exact" w:val="1138"/>
        </w:trPr>
        <w:tc>
          <w:tcPr>
            <w:tcW w:w="9640" w:type="dxa"/>
            <w:gridSpan w:val="3"/>
            <w:tcBorders>
              <w:top w:val="single" w:sz="4" w:space="0" w:color="auto"/>
              <w:left w:val="single" w:sz="4" w:space="0" w:color="auto"/>
              <w:bottom w:val="single" w:sz="4" w:space="0" w:color="auto"/>
              <w:right w:val="single" w:sz="4" w:space="0" w:color="auto"/>
            </w:tcBorders>
          </w:tcPr>
          <w:p w14:paraId="48339829" w14:textId="77777777" w:rsidR="00202C08" w:rsidRPr="00296F44" w:rsidRDefault="00202C08" w:rsidP="00202C08">
            <w:pPr>
              <w:pStyle w:val="Geenafstand"/>
              <w:ind w:left="57" w:right="57"/>
              <w:rPr>
                <w:noProof w:val="0"/>
              </w:rPr>
            </w:pPr>
            <w:r w:rsidRPr="00296F44">
              <w:rPr>
                <w:noProof w:val="0"/>
              </w:rPr>
              <w:lastRenderedPageBreak/>
              <w:t>Verdere procedure / Communicatie over besluit:</w:t>
            </w:r>
          </w:p>
          <w:p w14:paraId="7E6125F2" w14:textId="77777777" w:rsidR="00F028C7" w:rsidRPr="00296F44" w:rsidRDefault="0070470B" w:rsidP="00202C08">
            <w:pPr>
              <w:ind w:left="57" w:right="57"/>
              <w:rPr>
                <w:noProof w:val="0"/>
              </w:rPr>
            </w:pPr>
            <w:r>
              <w:rPr>
                <w:noProof w:val="0"/>
              </w:rPr>
              <w:t>Niet van toepassing</w:t>
            </w:r>
          </w:p>
          <w:p w14:paraId="6FF9B8EF" w14:textId="77777777" w:rsidR="00F028C7" w:rsidRPr="00296F44" w:rsidRDefault="00F028C7" w:rsidP="00202C08">
            <w:pPr>
              <w:ind w:left="57" w:right="57"/>
              <w:rPr>
                <w:noProof w:val="0"/>
              </w:rPr>
            </w:pPr>
          </w:p>
        </w:tc>
      </w:tr>
      <w:tr w:rsidR="004832C0" w:rsidRPr="00296F44" w14:paraId="500AE32E" w14:textId="77777777" w:rsidTr="00ED3D05">
        <w:trPr>
          <w:cantSplit/>
          <w:trHeight w:hRule="exact" w:val="850"/>
        </w:trPr>
        <w:tc>
          <w:tcPr>
            <w:tcW w:w="9640" w:type="dxa"/>
            <w:gridSpan w:val="3"/>
            <w:tcBorders>
              <w:top w:val="single" w:sz="4" w:space="0" w:color="auto"/>
              <w:left w:val="single" w:sz="4" w:space="0" w:color="auto"/>
              <w:bottom w:val="single" w:sz="4" w:space="0" w:color="auto"/>
              <w:right w:val="single" w:sz="4" w:space="0" w:color="auto"/>
            </w:tcBorders>
          </w:tcPr>
          <w:p w14:paraId="4B09BFAB" w14:textId="77777777" w:rsidR="004832C0" w:rsidRPr="00296F44" w:rsidRDefault="004832C0" w:rsidP="0070470B">
            <w:pPr>
              <w:pStyle w:val="Geenafstand"/>
              <w:ind w:left="57" w:right="57"/>
              <w:rPr>
                <w:noProof w:val="0"/>
              </w:rPr>
            </w:pPr>
            <w:r>
              <w:rPr>
                <w:noProof w:val="0"/>
              </w:rPr>
              <w:t>Verplicht publiceren in GR blad</w:t>
            </w:r>
            <w:r w:rsidRPr="00296F44">
              <w:rPr>
                <w:noProof w:val="0"/>
              </w:rPr>
              <w:t xml:space="preserve">: </w:t>
            </w:r>
            <w:sdt>
              <w:sdtPr>
                <w:rPr>
                  <w:noProof w:val="0"/>
                </w:rPr>
                <w:id w:val="-828833856"/>
                <w14:checkbox>
                  <w14:checked w14:val="0"/>
                  <w14:checkedState w14:val="2612" w14:font="MS Gothic"/>
                  <w14:uncheckedState w14:val="2610" w14:font="MS Gothic"/>
                </w14:checkbox>
              </w:sdtPr>
              <w:sdtEndPr/>
              <w:sdtContent>
                <w:r w:rsidRPr="00296F44">
                  <w:rPr>
                    <w:rFonts w:ascii="MS Gothic" w:eastAsia="MS Gothic" w:hAnsi="MS Gothic"/>
                    <w:noProof w:val="0"/>
                  </w:rPr>
                  <w:t>☐</w:t>
                </w:r>
              </w:sdtContent>
            </w:sdt>
            <w:r w:rsidRPr="00296F44">
              <w:rPr>
                <w:noProof w:val="0"/>
              </w:rPr>
              <w:t xml:space="preserve"> ja   /   </w:t>
            </w:r>
            <w:sdt>
              <w:sdtPr>
                <w:rPr>
                  <w:noProof w:val="0"/>
                </w:rPr>
                <w:id w:val="-555555502"/>
                <w14:checkbox>
                  <w14:checked w14:val="1"/>
                  <w14:checkedState w14:val="2612" w14:font="MS Gothic"/>
                  <w14:uncheckedState w14:val="2610" w14:font="MS Gothic"/>
                </w14:checkbox>
              </w:sdtPr>
              <w:sdtEndPr/>
              <w:sdtContent>
                <w:r w:rsidR="0070470B">
                  <w:rPr>
                    <w:rFonts w:ascii="MS Gothic" w:eastAsia="MS Gothic" w:hAnsi="MS Gothic" w:hint="eastAsia"/>
                    <w:noProof w:val="0"/>
                  </w:rPr>
                  <w:t>☒</w:t>
                </w:r>
              </w:sdtContent>
            </w:sdt>
            <w:r w:rsidRPr="00296F44">
              <w:rPr>
                <w:noProof w:val="0"/>
              </w:rPr>
              <w:t xml:space="preserve"> nee</w:t>
            </w:r>
          </w:p>
        </w:tc>
      </w:tr>
    </w:tbl>
    <w:p w14:paraId="4CBA304E" w14:textId="77777777" w:rsidR="00BE54D8" w:rsidRPr="00296F44" w:rsidRDefault="00BE54D8" w:rsidP="006E118B">
      <w:pPr>
        <w:ind w:left="-709"/>
        <w:rPr>
          <w:noProof w:val="0"/>
        </w:rPr>
      </w:pPr>
    </w:p>
    <w:sectPr w:rsidR="00BE54D8" w:rsidRPr="00296F44" w:rsidSect="000207EB">
      <w:headerReference w:type="first" r:id="rId7"/>
      <w:footerReference w:type="first" r:id="rId8"/>
      <w:type w:val="continuous"/>
      <w:pgSz w:w="11907" w:h="16840" w:code="9"/>
      <w:pgMar w:top="1701" w:right="1191" w:bottom="567" w:left="170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F2C918" w14:textId="77777777" w:rsidR="00A62275" w:rsidRDefault="00A62275" w:rsidP="004F3CE6">
      <w:r>
        <w:separator/>
      </w:r>
    </w:p>
  </w:endnote>
  <w:endnote w:type="continuationSeparator" w:id="0">
    <w:p w14:paraId="70F3CC5A" w14:textId="77777777" w:rsidR="00A62275" w:rsidRDefault="00A62275" w:rsidP="004F3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885D1" w14:textId="77777777" w:rsidR="000207EB" w:rsidRPr="000207EB" w:rsidRDefault="000207EB" w:rsidP="000207EB">
    <w:pPr>
      <w:pStyle w:val="Voettekst"/>
      <w:jc w:val="right"/>
      <w:rPr>
        <w:i/>
        <w:color w:val="404040" w:themeColor="text1" w:themeTint="BF"/>
        <w:sz w:val="16"/>
        <w:szCs w:val="16"/>
      </w:rPr>
    </w:pPr>
    <w:r w:rsidRPr="00BA0E69">
      <w:rPr>
        <w:i/>
        <w:color w:val="404040" w:themeColor="text1" w:themeTint="BF"/>
        <w:sz w:val="16"/>
        <w:szCs w:val="16"/>
      </w:rPr>
      <w:fldChar w:fldCharType="begin"/>
    </w:r>
    <w:r w:rsidRPr="00BA0E69">
      <w:rPr>
        <w:i/>
        <w:color w:val="404040" w:themeColor="text1" w:themeTint="BF"/>
        <w:sz w:val="16"/>
        <w:szCs w:val="16"/>
      </w:rPr>
      <w:instrText>PAGE  \* Arabic  \* MERGEFORMAT</w:instrText>
    </w:r>
    <w:r w:rsidRPr="00BA0E69">
      <w:rPr>
        <w:i/>
        <w:color w:val="404040" w:themeColor="text1" w:themeTint="BF"/>
        <w:sz w:val="16"/>
        <w:szCs w:val="16"/>
      </w:rPr>
      <w:fldChar w:fldCharType="separate"/>
    </w:r>
    <w:r w:rsidR="00ED3D05">
      <w:rPr>
        <w:i/>
        <w:color w:val="404040" w:themeColor="text1" w:themeTint="BF"/>
        <w:sz w:val="16"/>
        <w:szCs w:val="16"/>
      </w:rPr>
      <w:t>1</w:t>
    </w:r>
    <w:r w:rsidRPr="00BA0E69">
      <w:rPr>
        <w:i/>
        <w:color w:val="404040" w:themeColor="text1" w:themeTint="BF"/>
        <w:sz w:val="16"/>
        <w:szCs w:val="16"/>
      </w:rPr>
      <w:fldChar w:fldCharType="end"/>
    </w:r>
    <w:r w:rsidRPr="00BA0E69">
      <w:rPr>
        <w:i/>
        <w:color w:val="404040" w:themeColor="text1" w:themeTint="BF"/>
        <w:sz w:val="16"/>
        <w:szCs w:val="16"/>
      </w:rPr>
      <w:t xml:space="preserve"> van </w:t>
    </w:r>
    <w:r w:rsidRPr="00BA0E69">
      <w:rPr>
        <w:i/>
        <w:color w:val="404040" w:themeColor="text1" w:themeTint="BF"/>
        <w:sz w:val="16"/>
        <w:szCs w:val="16"/>
      </w:rPr>
      <w:fldChar w:fldCharType="begin"/>
    </w:r>
    <w:r w:rsidRPr="00BA0E69">
      <w:rPr>
        <w:i/>
        <w:color w:val="404040" w:themeColor="text1" w:themeTint="BF"/>
        <w:sz w:val="16"/>
        <w:szCs w:val="16"/>
      </w:rPr>
      <w:instrText>NUMPAGES \ * Arabisch \ * MERGEFORMAT</w:instrText>
    </w:r>
    <w:r w:rsidRPr="00BA0E69">
      <w:rPr>
        <w:i/>
        <w:color w:val="404040" w:themeColor="text1" w:themeTint="BF"/>
        <w:sz w:val="16"/>
        <w:szCs w:val="16"/>
      </w:rPr>
      <w:fldChar w:fldCharType="separate"/>
    </w:r>
    <w:r w:rsidR="00ED3D05">
      <w:rPr>
        <w:i/>
        <w:color w:val="404040" w:themeColor="text1" w:themeTint="BF"/>
        <w:sz w:val="16"/>
        <w:szCs w:val="16"/>
      </w:rPr>
      <w:t>1</w:t>
    </w:r>
    <w:r w:rsidRPr="00BA0E69">
      <w:rPr>
        <w:i/>
        <w:color w:val="404040" w:themeColor="text1" w:themeTint="B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DBFCF3" w14:textId="77777777" w:rsidR="00A62275" w:rsidRDefault="00A62275" w:rsidP="004F3CE6">
      <w:r>
        <w:separator/>
      </w:r>
    </w:p>
  </w:footnote>
  <w:footnote w:type="continuationSeparator" w:id="0">
    <w:p w14:paraId="27FF812A" w14:textId="77777777" w:rsidR="00A62275" w:rsidRDefault="00A62275" w:rsidP="004F3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10910" w14:textId="77777777" w:rsidR="000207EB" w:rsidRDefault="000207EB">
    <w:pPr>
      <w:pStyle w:val="Koptekst"/>
    </w:pPr>
    <w:r>
      <w:drawing>
        <wp:anchor distT="0" distB="0" distL="114300" distR="114300" simplePos="0" relativeHeight="251659264" behindDoc="0" locked="0" layoutInCell="1" allowOverlap="1" wp14:anchorId="71DF1058" wp14:editId="1582EB0B">
          <wp:simplePos x="0" y="0"/>
          <wp:positionH relativeFrom="column">
            <wp:posOffset>-456247</wp:posOffset>
          </wp:positionH>
          <wp:positionV relativeFrom="paragraph">
            <wp:posOffset>-67903</wp:posOffset>
          </wp:positionV>
          <wp:extent cx="1678028" cy="9619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ODMH\Logo's ODMH\Logo's ODMH\ODMH-logo CMY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78028" cy="961907"/>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attachedTemplate r:id="rId1"/>
  <w:documentProtection w:edit="forms"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275"/>
    <w:rsid w:val="0001077D"/>
    <w:rsid w:val="0002051D"/>
    <w:rsid w:val="000207EB"/>
    <w:rsid w:val="00053D33"/>
    <w:rsid w:val="000621FA"/>
    <w:rsid w:val="000641F6"/>
    <w:rsid w:val="000E2DD8"/>
    <w:rsid w:val="000F5B20"/>
    <w:rsid w:val="00106D52"/>
    <w:rsid w:val="0014230E"/>
    <w:rsid w:val="0016218E"/>
    <w:rsid w:val="00175640"/>
    <w:rsid w:val="00180737"/>
    <w:rsid w:val="001A7035"/>
    <w:rsid w:val="00202C08"/>
    <w:rsid w:val="00260F48"/>
    <w:rsid w:val="00296F44"/>
    <w:rsid w:val="003043B0"/>
    <w:rsid w:val="00314592"/>
    <w:rsid w:val="00325214"/>
    <w:rsid w:val="003401FF"/>
    <w:rsid w:val="00372BCA"/>
    <w:rsid w:val="003C00D3"/>
    <w:rsid w:val="003E3E53"/>
    <w:rsid w:val="00466865"/>
    <w:rsid w:val="004832C0"/>
    <w:rsid w:val="004A29C2"/>
    <w:rsid w:val="004B5659"/>
    <w:rsid w:val="004C54AF"/>
    <w:rsid w:val="004D5E65"/>
    <w:rsid w:val="004F3CE6"/>
    <w:rsid w:val="004F5D06"/>
    <w:rsid w:val="004F681C"/>
    <w:rsid w:val="004F7EC7"/>
    <w:rsid w:val="00516D90"/>
    <w:rsid w:val="005475B8"/>
    <w:rsid w:val="005B7C0E"/>
    <w:rsid w:val="00625F1A"/>
    <w:rsid w:val="00647AB8"/>
    <w:rsid w:val="00655288"/>
    <w:rsid w:val="00681B20"/>
    <w:rsid w:val="006952D3"/>
    <w:rsid w:val="006E118B"/>
    <w:rsid w:val="006E6A94"/>
    <w:rsid w:val="0070470B"/>
    <w:rsid w:val="00712548"/>
    <w:rsid w:val="007178BD"/>
    <w:rsid w:val="00733502"/>
    <w:rsid w:val="0074778D"/>
    <w:rsid w:val="00767A7D"/>
    <w:rsid w:val="0077243D"/>
    <w:rsid w:val="00773481"/>
    <w:rsid w:val="00775021"/>
    <w:rsid w:val="00777244"/>
    <w:rsid w:val="007D3C6D"/>
    <w:rsid w:val="00863928"/>
    <w:rsid w:val="00872177"/>
    <w:rsid w:val="00880681"/>
    <w:rsid w:val="009607C9"/>
    <w:rsid w:val="00976C2C"/>
    <w:rsid w:val="00977B3B"/>
    <w:rsid w:val="009C5944"/>
    <w:rsid w:val="009F6AA9"/>
    <w:rsid w:val="00A53E21"/>
    <w:rsid w:val="00A62275"/>
    <w:rsid w:val="00A80B68"/>
    <w:rsid w:val="00B615B0"/>
    <w:rsid w:val="00B626DC"/>
    <w:rsid w:val="00B87E08"/>
    <w:rsid w:val="00BE54D8"/>
    <w:rsid w:val="00C15317"/>
    <w:rsid w:val="00C31D25"/>
    <w:rsid w:val="00C7180A"/>
    <w:rsid w:val="00C92A9A"/>
    <w:rsid w:val="00CB60A5"/>
    <w:rsid w:val="00CF539D"/>
    <w:rsid w:val="00DA5D9D"/>
    <w:rsid w:val="00DB0175"/>
    <w:rsid w:val="00E216FE"/>
    <w:rsid w:val="00E3083B"/>
    <w:rsid w:val="00E50DC6"/>
    <w:rsid w:val="00ED3D05"/>
    <w:rsid w:val="00ED651D"/>
    <w:rsid w:val="00F01F9E"/>
    <w:rsid w:val="00F028C7"/>
    <w:rsid w:val="00F02BBD"/>
    <w:rsid w:val="00F06A3C"/>
    <w:rsid w:val="00F2079A"/>
    <w:rsid w:val="00F30B52"/>
    <w:rsid w:val="00F610E3"/>
    <w:rsid w:val="00F8040A"/>
    <w:rsid w:val="00FB2BD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416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ODMH Standaardtekst"/>
    <w:qFormat/>
    <w:rsid w:val="004F3CE6"/>
    <w:rPr>
      <w:rFonts w:ascii="Arial" w:hAnsi="Arial"/>
      <w:noProof/>
    </w:rPr>
  </w:style>
  <w:style w:type="paragraph" w:styleId="Kop1">
    <w:name w:val="heading 1"/>
    <w:basedOn w:val="Standaard"/>
    <w:next w:val="Standaard"/>
    <w:qFormat/>
    <w:rsid w:val="000641F6"/>
    <w:pPr>
      <w:keepNext/>
      <w:outlineLvl w:val="0"/>
    </w:pPr>
    <w:rPr>
      <w:i/>
      <w:sz w:val="18"/>
      <w:lang w:val="en-US"/>
    </w:rPr>
  </w:style>
  <w:style w:type="paragraph" w:styleId="Kop2">
    <w:name w:val="heading 2"/>
    <w:basedOn w:val="Standaard"/>
    <w:next w:val="Standaard"/>
    <w:qFormat/>
    <w:rsid w:val="000641F6"/>
    <w:pPr>
      <w:keepNext/>
      <w:outlineLvl w:val="1"/>
    </w:pPr>
    <w:rPr>
      <w:i/>
      <w:spacing w:val="11"/>
      <w:sz w:val="1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rsid w:val="000641F6"/>
    <w:pPr>
      <w:tabs>
        <w:tab w:val="center" w:pos="4703"/>
        <w:tab w:val="right" w:pos="9406"/>
      </w:tabs>
    </w:pPr>
  </w:style>
  <w:style w:type="paragraph" w:styleId="Voettekst">
    <w:name w:val="footer"/>
    <w:basedOn w:val="Standaard"/>
    <w:link w:val="VoettekstChar"/>
    <w:uiPriority w:val="99"/>
    <w:rsid w:val="000641F6"/>
    <w:pPr>
      <w:tabs>
        <w:tab w:val="center" w:pos="4703"/>
        <w:tab w:val="right" w:pos="9406"/>
      </w:tabs>
    </w:pPr>
  </w:style>
  <w:style w:type="paragraph" w:styleId="Ballontekst">
    <w:name w:val="Balloon Text"/>
    <w:basedOn w:val="Standaard"/>
    <w:link w:val="BallontekstChar"/>
    <w:uiPriority w:val="99"/>
    <w:semiHidden/>
    <w:unhideWhenUsed/>
    <w:rsid w:val="009C5944"/>
    <w:rPr>
      <w:rFonts w:ascii="Tahoma" w:hAnsi="Tahoma" w:cs="Tahoma"/>
      <w:sz w:val="16"/>
      <w:szCs w:val="16"/>
    </w:rPr>
  </w:style>
  <w:style w:type="character" w:customStyle="1" w:styleId="BallontekstChar">
    <w:name w:val="Ballontekst Char"/>
    <w:basedOn w:val="Standaardalinea-lettertype"/>
    <w:link w:val="Ballontekst"/>
    <w:uiPriority w:val="99"/>
    <w:semiHidden/>
    <w:rsid w:val="009C5944"/>
    <w:rPr>
      <w:rFonts w:ascii="Tahoma" w:hAnsi="Tahoma" w:cs="Tahoma"/>
      <w:sz w:val="16"/>
      <w:szCs w:val="16"/>
    </w:rPr>
  </w:style>
  <w:style w:type="paragraph" w:styleId="Lijstalinea">
    <w:name w:val="List Paragraph"/>
    <w:basedOn w:val="Standaard"/>
    <w:uiPriority w:val="34"/>
    <w:qFormat/>
    <w:rsid w:val="00681B20"/>
    <w:pPr>
      <w:ind w:left="720"/>
      <w:contextualSpacing/>
    </w:pPr>
  </w:style>
  <w:style w:type="paragraph" w:styleId="Geenafstand">
    <w:name w:val="No Spacing"/>
    <w:aliases w:val="ODMH kop,ODMH tussenkop"/>
    <w:uiPriority w:val="1"/>
    <w:qFormat/>
    <w:rsid w:val="004F3CE6"/>
    <w:pPr>
      <w:spacing w:before="120" w:after="120"/>
    </w:pPr>
    <w:rPr>
      <w:rFonts w:ascii="Arial" w:hAnsi="Arial"/>
      <w:b/>
      <w:noProof/>
    </w:rPr>
  </w:style>
  <w:style w:type="character" w:customStyle="1" w:styleId="VoettekstChar">
    <w:name w:val="Voettekst Char"/>
    <w:basedOn w:val="Standaardalinea-lettertype"/>
    <w:link w:val="Voettekst"/>
    <w:uiPriority w:val="99"/>
    <w:rsid w:val="000207EB"/>
    <w:rPr>
      <w:rFonts w:ascii="Arial" w:hAnsi="Arial"/>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98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jablonen\Voorblad%20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7D10C-4134-4316-A402-A710DBD21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Voorblad AB.dotx</Template>
  <TotalTime>0</TotalTime>
  <Pages>2</Pages>
  <Words>395</Words>
  <Characters>2174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2564</CharactersWithSpaces>
  <SharedDoc>false</SharedDoc>
  <HLinks>
    <vt:vector size="12" baseType="variant">
      <vt:variant>
        <vt:i4>2162693</vt:i4>
      </vt:variant>
      <vt:variant>
        <vt:i4>-1</vt:i4>
      </vt:variant>
      <vt:variant>
        <vt:i4>2049</vt:i4>
      </vt:variant>
      <vt:variant>
        <vt:i4>1</vt:i4>
      </vt:variant>
      <vt:variant>
        <vt:lpwstr>C:\FaxhoofdenBMP\New Folder (2)\logo3.bmp</vt:lpwstr>
      </vt:variant>
      <vt:variant>
        <vt:lpwstr/>
      </vt:variant>
      <vt:variant>
        <vt:i4>2162695</vt:i4>
      </vt:variant>
      <vt:variant>
        <vt:i4>-1</vt:i4>
      </vt:variant>
      <vt:variant>
        <vt:i4>2051</vt:i4>
      </vt:variant>
      <vt:variant>
        <vt:i4>1</vt:i4>
      </vt:variant>
      <vt:variant>
        <vt:lpwstr>C:\FaxhoofdenBMP\New Folder (2)\logo1.bmp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2023-08-23T08:43:00Z</dcterms:created>
  <dcterms:modified xsi:type="dcterms:W3CDTF">2023-10-10T11:30:00Z</dcterms:modified>
</cp:coreProperties>
</file>